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B94" w:rsidRDefault="000A55F0">
      <w:pPr>
        <w:tabs>
          <w:tab w:val="left" w:pos="0"/>
        </w:tabs>
        <w:spacing w:after="0" w:line="240" w:lineRule="auto"/>
        <w:jc w:val="center"/>
        <w:rPr>
          <w:rFonts w:ascii="Times New Roman" w:hAnsi="Times New Roman" w:cs="Times New Roman"/>
          <w:sz w:val="28"/>
          <w:szCs w:val="28"/>
        </w:rPr>
      </w:pPr>
      <w:r>
        <w:rPr>
          <w:noProof/>
          <w:lang w:eastAsia="ru-RU"/>
        </w:rPr>
        <w:drawing>
          <wp:inline distT="0" distB="0" distL="0" distR="0" wp14:anchorId="4C0C2C1B" wp14:editId="0A04D643">
            <wp:extent cx="899795" cy="8191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pic:cNvPicPr>
                  </pic:nvPicPr>
                  <pic:blipFill>
                    <a:blip r:embed="rId8"/>
                    <a:stretch/>
                  </pic:blipFill>
                  <pic:spPr bwMode="auto">
                    <a:xfrm>
                      <a:off x="0" y="0"/>
                      <a:ext cx="899795" cy="819150"/>
                    </a:xfrm>
                    <a:prstGeom prst="rect">
                      <a:avLst/>
                    </a:prstGeom>
                    <a:noFill/>
                    <a:ln>
                      <a:noFill/>
                    </a:ln>
                  </pic:spPr>
                </pic:pic>
              </a:graphicData>
            </a:graphic>
          </wp:inline>
        </w:drawing>
      </w:r>
    </w:p>
    <w:p w:rsidR="00CF4B94" w:rsidRDefault="00116D5C">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ХАНТЫ-МАНСИЙСКИЙ АВТОНОМНЫЙ ОКРУГ – ЮГРА</w:t>
      </w:r>
    </w:p>
    <w:p w:rsidR="00CF4B94" w:rsidRDefault="00CF4B94">
      <w:pPr>
        <w:spacing w:after="0" w:line="240" w:lineRule="auto"/>
        <w:jc w:val="center"/>
        <w:rPr>
          <w:rFonts w:ascii="Times New Roman" w:eastAsia="Times New Roman" w:hAnsi="Times New Roman" w:cs="Times New Roman"/>
          <w:bCs/>
          <w:sz w:val="28"/>
          <w:szCs w:val="28"/>
          <w:lang w:eastAsia="ru-RU"/>
        </w:rPr>
      </w:pPr>
    </w:p>
    <w:p w:rsidR="00CF4B94" w:rsidRDefault="00116D5C">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44"/>
          <w:szCs w:val="44"/>
          <w:lang w:eastAsia="ru-RU"/>
        </w:rPr>
        <w:t>ЗАКОН</w:t>
      </w:r>
    </w:p>
    <w:p w:rsidR="00CF4B94" w:rsidRDefault="00CF4B94">
      <w:pPr>
        <w:spacing w:after="0" w:line="240" w:lineRule="auto"/>
        <w:jc w:val="center"/>
        <w:rPr>
          <w:rFonts w:ascii="Times New Roman" w:eastAsia="Times New Roman" w:hAnsi="Times New Roman" w:cs="Times New Roman"/>
          <w:bCs/>
          <w:sz w:val="28"/>
          <w:szCs w:val="16"/>
          <w:lang w:eastAsia="ru-RU"/>
        </w:rPr>
      </w:pPr>
    </w:p>
    <w:p w:rsidR="00CF4B94" w:rsidRDefault="00116D5C">
      <w:pPr>
        <w:tabs>
          <w:tab w:val="left" w:pos="1701"/>
        </w:tabs>
        <w:spacing w:after="0" w:line="240" w:lineRule="auto"/>
        <w:jc w:val="center"/>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О бюджете Ханты-Мансийского автономного округа – Югры</w:t>
      </w:r>
    </w:p>
    <w:p w:rsidR="00CF4B94" w:rsidRDefault="00116D5C">
      <w:pPr>
        <w:tabs>
          <w:tab w:val="left" w:pos="1701"/>
        </w:tabs>
        <w:spacing w:after="0" w:line="240" w:lineRule="auto"/>
        <w:jc w:val="center"/>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на 2025 год и на плановый период 2026 и 2027 годов</w:t>
      </w:r>
    </w:p>
    <w:p w:rsidR="00CF4B94" w:rsidRDefault="00CF4B94">
      <w:pPr>
        <w:tabs>
          <w:tab w:val="left" w:pos="1701"/>
        </w:tabs>
        <w:spacing w:after="0" w:line="240" w:lineRule="auto"/>
        <w:jc w:val="center"/>
        <w:rPr>
          <w:rFonts w:ascii="Times New Roman" w:eastAsia="Calibri" w:hAnsi="Times New Roman" w:cs="Times New Roman"/>
          <w:spacing w:val="-2"/>
          <w:sz w:val="28"/>
          <w:szCs w:val="28"/>
        </w:rPr>
      </w:pPr>
    </w:p>
    <w:p w:rsidR="00CF4B94" w:rsidRDefault="00116D5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Принят Думой Ханты-Мансийского </w:t>
      </w:r>
    </w:p>
    <w:p w:rsidR="00CF4B94" w:rsidRDefault="00116D5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автономного округа – Югры 28 ноября 2024 года</w:t>
      </w:r>
    </w:p>
    <w:p w:rsidR="00CF4B94" w:rsidRDefault="00CF4B94">
      <w:pPr>
        <w:spacing w:after="0" w:line="240" w:lineRule="auto"/>
        <w:jc w:val="center"/>
        <w:rPr>
          <w:rFonts w:ascii="Times New Roman" w:eastAsia="Times New Roman" w:hAnsi="Times New Roman" w:cs="Times New Roman"/>
          <w:sz w:val="28"/>
          <w:szCs w:val="28"/>
          <w:lang w:eastAsia="ru-RU"/>
        </w:rPr>
      </w:pPr>
    </w:p>
    <w:p w:rsidR="00CF4B94" w:rsidRDefault="00CF4B94">
      <w:pPr>
        <w:spacing w:after="0" w:line="240" w:lineRule="auto"/>
        <w:jc w:val="center"/>
        <w:rPr>
          <w:rFonts w:ascii="Times New Roman" w:eastAsia="Times New Roman" w:hAnsi="Times New Roman" w:cs="Times New Roman"/>
          <w:sz w:val="28"/>
          <w:szCs w:val="28"/>
          <w:lang w:eastAsia="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403"/>
      </w:tblGrid>
      <w:tr w:rsidR="00CF4B94">
        <w:tc>
          <w:tcPr>
            <w:tcW w:w="1984" w:type="dxa"/>
            <w:shd w:val="clear" w:color="auto" w:fill="auto"/>
          </w:tcPr>
          <w:p w:rsidR="00CF4B94" w:rsidRDefault="00116D5C">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Статья </w:t>
            </w:r>
            <w:r>
              <w:rPr>
                <w:rFonts w:ascii="Times New Roman" w:eastAsia="Calibri" w:hAnsi="Times New Roman" w:cs="Times New Roman"/>
                <w:color w:val="000000"/>
                <w:spacing w:val="-2"/>
                <w:sz w:val="28"/>
                <w:szCs w:val="28"/>
              </w:rPr>
              <w:t>1.</w:t>
            </w:r>
          </w:p>
        </w:tc>
        <w:tc>
          <w:tcPr>
            <w:tcW w:w="7586" w:type="dxa"/>
            <w:shd w:val="clear" w:color="auto" w:fill="auto"/>
          </w:tcPr>
          <w:p w:rsidR="00CF4B94" w:rsidRDefault="00116D5C">
            <w:pPr>
              <w:tabs>
                <w:tab w:val="left" w:pos="1701"/>
              </w:tabs>
              <w:jc w:val="both"/>
              <w:rPr>
                <w:rFonts w:ascii="Times New Roman" w:eastAsia="Calibri" w:hAnsi="Times New Roman" w:cs="Times New Roman"/>
                <w:b/>
                <w:color w:val="000000"/>
                <w:spacing w:val="-2"/>
                <w:sz w:val="28"/>
                <w:szCs w:val="28"/>
              </w:rPr>
            </w:pPr>
            <w:r>
              <w:rPr>
                <w:rFonts w:ascii="Times New Roman" w:eastAsia="Calibri" w:hAnsi="Times New Roman" w:cs="Times New Roman"/>
                <w:b/>
                <w:color w:val="000000"/>
                <w:spacing w:val="-2"/>
                <w:sz w:val="28"/>
                <w:szCs w:val="28"/>
              </w:rPr>
              <w:t>Основные характеристики бюджета Ханты-</w:t>
            </w:r>
          </w:p>
          <w:p w:rsidR="00CF4B94" w:rsidRDefault="00116D5C">
            <w:pPr>
              <w:tabs>
                <w:tab w:val="left" w:pos="1701"/>
              </w:tabs>
              <w:jc w:val="both"/>
              <w:rPr>
                <w:rFonts w:ascii="Times New Roman" w:eastAsia="Calibri" w:hAnsi="Times New Roman" w:cs="Times New Roman"/>
                <w:b/>
                <w:color w:val="000000"/>
                <w:spacing w:val="-2"/>
                <w:sz w:val="28"/>
                <w:szCs w:val="28"/>
              </w:rPr>
            </w:pPr>
            <w:r>
              <w:rPr>
                <w:rFonts w:ascii="Times New Roman" w:eastAsia="Calibri" w:hAnsi="Times New Roman" w:cs="Times New Roman"/>
                <w:b/>
                <w:color w:val="000000"/>
                <w:spacing w:val="-2"/>
                <w:sz w:val="28"/>
                <w:szCs w:val="28"/>
              </w:rPr>
              <w:t xml:space="preserve">Мансийского автономного округа – Югры </w:t>
            </w:r>
          </w:p>
          <w:p w:rsidR="00CF4B94" w:rsidRDefault="00116D5C">
            <w:pPr>
              <w:tabs>
                <w:tab w:val="left" w:pos="1701"/>
              </w:tabs>
              <w:jc w:val="both"/>
              <w:rPr>
                <w:rFonts w:ascii="Times New Roman" w:eastAsia="Calibri" w:hAnsi="Times New Roman" w:cs="Times New Roman"/>
                <w:spacing w:val="-2"/>
                <w:sz w:val="28"/>
                <w:szCs w:val="28"/>
              </w:rPr>
            </w:pPr>
            <w:r>
              <w:rPr>
                <w:rFonts w:ascii="Times New Roman" w:eastAsia="Calibri" w:hAnsi="Times New Roman" w:cs="Times New Roman"/>
                <w:b/>
                <w:color w:val="000000"/>
                <w:spacing w:val="-2"/>
                <w:sz w:val="28"/>
                <w:szCs w:val="28"/>
              </w:rPr>
              <w:t>на 2025 год и на плановый период 2026 и 2027 годов</w:t>
            </w:r>
          </w:p>
        </w:tc>
      </w:tr>
    </w:tbl>
    <w:p w:rsidR="00CF4B94" w:rsidRDefault="00CF4B94">
      <w:pPr>
        <w:tabs>
          <w:tab w:val="left" w:pos="1701"/>
        </w:tabs>
        <w:spacing w:after="0" w:line="240" w:lineRule="auto"/>
        <w:ind w:firstLine="709"/>
        <w:jc w:val="both"/>
        <w:rPr>
          <w:rFonts w:ascii="Times New Roman" w:eastAsia="Calibri" w:hAnsi="Times New Roman" w:cs="Times New Roman"/>
          <w:spacing w:val="-4"/>
          <w:sz w:val="28"/>
          <w:szCs w:val="28"/>
        </w:rPr>
      </w:pP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Утвердить основные характеристики бюджета Ханты-Мансийского автономного округа – Югры (далее также – автономный округ) на 2025 год:</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1) прогнозируемый общий объем доходов бюджета </w:t>
      </w:r>
      <w:r>
        <w:rPr>
          <w:rFonts w:ascii="Times New Roman" w:eastAsia="Calibri" w:hAnsi="Times New Roman" w:cs="Times New Roman"/>
          <w:spacing w:val="-4"/>
          <w:sz w:val="28"/>
          <w:szCs w:val="28"/>
        </w:rPr>
        <w:t>Ханты-Мансийского автономного округа – Югры</w:t>
      </w:r>
      <w:r>
        <w:rPr>
          <w:rFonts w:ascii="Times New Roman" w:eastAsia="Calibri" w:hAnsi="Times New Roman" w:cs="Times New Roman"/>
          <w:spacing w:val="-2"/>
          <w:sz w:val="28"/>
          <w:szCs w:val="28"/>
        </w:rPr>
        <w:t xml:space="preserve"> в сумме 406 340 461,7 тыс. рублей согласно приложению 1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2) общий объем расходов бюджета автономного округа в сумме 465 170 492,5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3) дефицит бюджета автономного округа в сумме 58 830 030,8 тыс. </w:t>
      </w:r>
      <w:r>
        <w:rPr>
          <w:rFonts w:ascii="Times New Roman" w:eastAsia="Calibri" w:hAnsi="Times New Roman" w:cs="Times New Roman"/>
          <w:spacing w:val="-2"/>
          <w:sz w:val="28"/>
          <w:szCs w:val="28"/>
        </w:rPr>
        <w:br/>
        <w:t>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4) верхний предел государственного внутреннего долга Ханты-Мансийского автономного округа – Югры на 1 января 2026 года в сумме 63 484 195,0 тыс. рублей, в том числе верхний предел долга по государственным гарантиям автономного округа в сумме 0,0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5) объем расходов на обслуживание государственного внутреннего долга автономного округа в сумме 7 024 794,6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2"/>
          <w:sz w:val="28"/>
          <w:szCs w:val="28"/>
        </w:rPr>
        <w:t xml:space="preserve">2. </w:t>
      </w:r>
      <w:r>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на плановый период 2026 и 2027 годов:</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1) прогнозируемый общий объем доходов бюджета </w:t>
      </w:r>
      <w:r>
        <w:rPr>
          <w:rFonts w:ascii="Times New Roman" w:eastAsia="Calibri" w:hAnsi="Times New Roman" w:cs="Times New Roman"/>
          <w:spacing w:val="-4"/>
          <w:sz w:val="28"/>
          <w:szCs w:val="28"/>
        </w:rPr>
        <w:t>Ханты-Мансийского автономного округа – Югры</w:t>
      </w:r>
      <w:r>
        <w:rPr>
          <w:rFonts w:ascii="Times New Roman" w:eastAsia="Calibri" w:hAnsi="Times New Roman" w:cs="Times New Roman"/>
          <w:spacing w:val="-2"/>
          <w:sz w:val="28"/>
          <w:szCs w:val="28"/>
        </w:rPr>
        <w:t xml:space="preserve"> на 2026 год в сумме 416 287 916,9 тыс. рублей и на 2027 год в сумме 423 766 274,5 тыс. рублей согласно приложению 2 </w:t>
      </w:r>
      <w:r>
        <w:rPr>
          <w:rFonts w:ascii="Times New Roman" w:eastAsia="Calibri" w:hAnsi="Times New Roman" w:cs="Times New Roman"/>
          <w:spacing w:val="-2"/>
          <w:sz w:val="28"/>
          <w:szCs w:val="28"/>
        </w:rPr>
        <w:br/>
        <w:t>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общий объем расходов бюджета автономного округа на 2026 год </w:t>
      </w:r>
      <w:r>
        <w:rPr>
          <w:rFonts w:ascii="Times New Roman" w:eastAsia="Calibri" w:hAnsi="Times New Roman" w:cs="Times New Roman"/>
          <w:spacing w:val="-4"/>
          <w:sz w:val="28"/>
          <w:szCs w:val="28"/>
        </w:rPr>
        <w:br/>
        <w:t>в сумме 443 793 743,6 тыс. рублей и на 2027 год в сумме 459 952 835,4 тыс. рублей, в том числе условно утвержденные расходы на 2026 год в сумме 10 421 479,5 тыс. рублей и на 2027 год в сумме 20 776 859,2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lastRenderedPageBreak/>
        <w:t xml:space="preserve">3) дефицит бюджета автономного округа на 2026 год в сумме </w:t>
      </w:r>
      <w:r>
        <w:rPr>
          <w:rFonts w:ascii="Times New Roman" w:eastAsia="Calibri" w:hAnsi="Times New Roman" w:cs="Times New Roman"/>
          <w:spacing w:val="-2"/>
          <w:sz w:val="28"/>
          <w:szCs w:val="28"/>
        </w:rPr>
        <w:br/>
        <w:t>27 505 826,7 тыс. рублей и на 2027 год в сумме 36 186 560,9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4) верхний предел государственного внутреннего долга автономного округа на 1 января 2027 года в сумме 88 178 758,2 тыс. рублей и на 1 января 2028 года в сумме 123 755 636,7 тыс. рублей, в том числе верхний предел долга по государственным гарантиям автономного округа на 1 января </w:t>
      </w:r>
      <w:r>
        <w:rPr>
          <w:rFonts w:ascii="Times New Roman" w:eastAsia="Calibri" w:hAnsi="Times New Roman" w:cs="Times New Roman"/>
          <w:spacing w:val="-2"/>
          <w:sz w:val="28"/>
          <w:szCs w:val="28"/>
        </w:rPr>
        <w:br/>
        <w:t xml:space="preserve">2027 года в сумме 0,0 тыс. рублей и на 1 января 2028 года в сумме </w:t>
      </w:r>
      <w:r>
        <w:rPr>
          <w:rFonts w:ascii="Times New Roman" w:eastAsia="Calibri" w:hAnsi="Times New Roman" w:cs="Times New Roman"/>
          <w:spacing w:val="-2"/>
          <w:sz w:val="28"/>
          <w:szCs w:val="28"/>
        </w:rPr>
        <w:br/>
        <w:t>0,0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5) объем расходов на обслуживание государственного внутреннего долга автономного округа на 2026 год в сумме 11 508 071,6 тыс. рублей и на </w:t>
      </w:r>
      <w:r>
        <w:rPr>
          <w:rFonts w:ascii="Times New Roman" w:eastAsia="Calibri" w:hAnsi="Times New Roman" w:cs="Times New Roman"/>
          <w:spacing w:val="-2"/>
          <w:sz w:val="28"/>
          <w:szCs w:val="28"/>
        </w:rPr>
        <w:br/>
        <w:t>2027 год в сумме 13 465 848,9 тыс. рублей.</w:t>
      </w:r>
    </w:p>
    <w:p w:rsidR="00CF4B94" w:rsidRDefault="00CF4B94">
      <w:pPr>
        <w:tabs>
          <w:tab w:val="left" w:pos="1701"/>
        </w:tabs>
        <w:spacing w:after="0" w:line="240" w:lineRule="auto"/>
        <w:ind w:firstLine="709"/>
        <w:jc w:val="both"/>
        <w:rPr>
          <w:rFonts w:ascii="Times New Roman" w:eastAsia="Calibri" w:hAnsi="Times New Roman" w:cs="Times New Roman"/>
          <w:spacing w:val="-2"/>
          <w:sz w:val="28"/>
          <w:szCs w:val="28"/>
        </w:rPr>
      </w:pP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Статья 2. </w:t>
      </w:r>
      <w:r>
        <w:rPr>
          <w:rFonts w:ascii="Times New Roman" w:eastAsia="Calibri" w:hAnsi="Times New Roman" w:cs="Times New Roman"/>
          <w:b/>
          <w:spacing w:val="-2"/>
          <w:sz w:val="28"/>
          <w:szCs w:val="28"/>
        </w:rPr>
        <w:t>Нормативы распределения доходов между бюджетами</w:t>
      </w:r>
    </w:p>
    <w:p w:rsidR="00CF4B94" w:rsidRDefault="00CF4B94">
      <w:pPr>
        <w:tabs>
          <w:tab w:val="left" w:pos="1701"/>
        </w:tabs>
        <w:spacing w:after="0" w:line="240" w:lineRule="auto"/>
        <w:ind w:firstLine="709"/>
        <w:jc w:val="both"/>
        <w:rPr>
          <w:rFonts w:ascii="Times New Roman" w:eastAsia="Calibri" w:hAnsi="Times New Roman" w:cs="Times New Roman"/>
          <w:spacing w:val="-4"/>
          <w:sz w:val="28"/>
          <w:szCs w:val="28"/>
        </w:rPr>
      </w:pP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В соответствии с пунктом 2 статьи 184.1 Бюджетного кодекса Российской Федерации и подпунктом 2 пункта 1 статьи 3 Закона Ханты-Мансийского автономного округа – Югры "Об отдельных вопросах организации и осуществления бюджетного процесса в Ханты-Мансийском автономном округе – Югре" утвердить нормативы распределения доходов между бюджетом Ханты-Мансийского автономного округа – Югры, бюджетом территориального фонда обязательного медицинского страхования Ханты-Мансийского автономного округа – Югры и бюджетами муниципальных образований Ханты-Мансийского автономного округа – Югры на 2025 год и на плановый период 2026 и 2027 годов согласно приложению 3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Утвердить дифференцированные нормативы отчислений в бюджеты муниципальных образований Ханты-Мансийского автономного округа – Югры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2025 год согласно приложению 4 и на плановый период 2026 и 2027 годов согласно приложению 5 к настоящему Закону.</w:t>
      </w:r>
    </w:p>
    <w:p w:rsidR="00CF4B94" w:rsidRDefault="00CF4B94">
      <w:pPr>
        <w:tabs>
          <w:tab w:val="left" w:pos="1701"/>
        </w:tabs>
        <w:spacing w:after="0" w:line="240" w:lineRule="auto"/>
        <w:ind w:firstLine="709"/>
        <w:jc w:val="both"/>
        <w:rPr>
          <w:rFonts w:ascii="Times New Roman" w:eastAsia="Calibri" w:hAnsi="Times New Roman" w:cs="Times New Roman"/>
          <w:spacing w:val="-2"/>
          <w:sz w:val="28"/>
          <w:szCs w:val="28"/>
        </w:rPr>
      </w:pPr>
    </w:p>
    <w:p w:rsidR="00CF4B94" w:rsidRDefault="00116D5C">
      <w:pPr>
        <w:tabs>
          <w:tab w:val="left" w:pos="1701"/>
        </w:tabs>
        <w:spacing w:after="0" w:line="240" w:lineRule="auto"/>
        <w:ind w:firstLine="709"/>
        <w:rPr>
          <w:rFonts w:ascii="Times New Roman" w:eastAsia="Calibri" w:hAnsi="Times New Roman" w:cs="Times New Roman"/>
          <w:b/>
          <w:spacing w:val="-2"/>
          <w:sz w:val="28"/>
          <w:szCs w:val="28"/>
        </w:rPr>
      </w:pPr>
      <w:r>
        <w:rPr>
          <w:rFonts w:ascii="Times New Roman" w:eastAsia="Calibri" w:hAnsi="Times New Roman" w:cs="Times New Roman"/>
          <w:spacing w:val="-2"/>
          <w:sz w:val="28"/>
          <w:szCs w:val="28"/>
        </w:rPr>
        <w:t>Статья 3.</w:t>
      </w:r>
      <w:r>
        <w:rPr>
          <w:rFonts w:ascii="Times New Roman" w:eastAsia="Calibri" w:hAnsi="Times New Roman" w:cs="Times New Roman"/>
          <w:b/>
          <w:spacing w:val="-2"/>
          <w:sz w:val="28"/>
          <w:szCs w:val="28"/>
        </w:rPr>
        <w:t xml:space="preserve"> Бюджетные ассигнования бюджета автономного округа </w:t>
      </w:r>
    </w:p>
    <w:p w:rsidR="00CF4B94" w:rsidRDefault="00CF4B94">
      <w:pPr>
        <w:tabs>
          <w:tab w:val="left" w:pos="1701"/>
        </w:tabs>
        <w:spacing w:after="0" w:line="240" w:lineRule="auto"/>
        <w:ind w:firstLine="709"/>
        <w:jc w:val="both"/>
        <w:rPr>
          <w:rFonts w:ascii="Times New Roman" w:eastAsia="Calibri" w:hAnsi="Times New Roman" w:cs="Times New Roman"/>
          <w:spacing w:val="-2"/>
          <w:sz w:val="28"/>
          <w:szCs w:val="28"/>
        </w:rPr>
      </w:pP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 Утвердить 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2025 год согласно приложению 6 к настоящему Закону;</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на</w:t>
      </w:r>
      <w:r>
        <w:rPr>
          <w:rFonts w:ascii="Times New Roman" w:eastAsia="Calibri" w:hAnsi="Times New Roman" w:cs="Times New Roman"/>
          <w:spacing w:val="-2"/>
          <w:sz w:val="28"/>
          <w:szCs w:val="28"/>
        </w:rPr>
        <w:t xml:space="preserve"> плановый период 2026 и 2027 годов согласно приложению 7 </w:t>
      </w:r>
      <w:r>
        <w:rPr>
          <w:rFonts w:ascii="Times New Roman" w:eastAsia="Calibri" w:hAnsi="Times New Roman" w:cs="Times New Roman"/>
          <w:spacing w:val="-2"/>
          <w:sz w:val="28"/>
          <w:szCs w:val="28"/>
        </w:rPr>
        <w:br/>
        <w:t>к настоящему Закону.</w:t>
      </w:r>
    </w:p>
    <w:p w:rsidR="00CF4B94" w:rsidRDefault="00116D5C">
      <w:pPr>
        <w:pStyle w:val="afd"/>
        <w:tabs>
          <w:tab w:val="left" w:pos="1092"/>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Утвердить распределение бюджетных ассигнований по целевым </w:t>
      </w:r>
      <w:r>
        <w:rPr>
          <w:rFonts w:ascii="Times New Roman" w:eastAsia="Calibri" w:hAnsi="Times New Roman" w:cs="Times New Roman"/>
          <w:spacing w:val="-2"/>
          <w:sz w:val="28"/>
          <w:szCs w:val="28"/>
        </w:rPr>
        <w:br/>
        <w:t xml:space="preserve">статьям (государственным программам автономного округа и непрограммным направлениям деятельности), группам и подгруппам видов расходов </w:t>
      </w:r>
      <w:r>
        <w:rPr>
          <w:rFonts w:ascii="Times New Roman" w:eastAsia="Calibri" w:hAnsi="Times New Roman" w:cs="Times New Roman"/>
          <w:spacing w:val="-2"/>
          <w:sz w:val="28"/>
          <w:szCs w:val="28"/>
        </w:rPr>
        <w:lastRenderedPageBreak/>
        <w:t>классификации расходов бюджета Ханты-Мансийского автономного округа – Югры:</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2025 год согласно приложению 8 к настоящему Закону;</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на</w:t>
      </w:r>
      <w:r>
        <w:rPr>
          <w:rFonts w:ascii="Times New Roman" w:eastAsia="Calibri" w:hAnsi="Times New Roman" w:cs="Times New Roman"/>
          <w:spacing w:val="-2"/>
          <w:sz w:val="28"/>
          <w:szCs w:val="28"/>
        </w:rPr>
        <w:t xml:space="preserve"> плановый период 2026 и 2027 годов согласно приложению 9 </w:t>
      </w:r>
      <w:r>
        <w:rPr>
          <w:rFonts w:ascii="Times New Roman" w:eastAsia="Calibri" w:hAnsi="Times New Roman" w:cs="Times New Roman"/>
          <w:spacing w:val="-2"/>
          <w:sz w:val="28"/>
          <w:szCs w:val="28"/>
        </w:rPr>
        <w:br/>
        <w:t>к настоящему Закону.</w:t>
      </w:r>
    </w:p>
    <w:p w:rsidR="00CF4B94" w:rsidRDefault="00116D5C">
      <w:pPr>
        <w:pStyle w:val="afd"/>
        <w:tabs>
          <w:tab w:val="left" w:pos="1078"/>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3. Утвердить распределение бюджетных ассигнований по разделам и подразделам классификации расходов бюджета Ханты-Мансийского автономного округа – Югры:</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2025 год согласно приложению 10 к настоящему Закону;</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на</w:t>
      </w:r>
      <w:r>
        <w:rPr>
          <w:rFonts w:ascii="Times New Roman" w:eastAsia="Calibri" w:hAnsi="Times New Roman" w:cs="Times New Roman"/>
          <w:spacing w:val="-2"/>
          <w:sz w:val="28"/>
          <w:szCs w:val="28"/>
        </w:rPr>
        <w:t xml:space="preserve"> плановый период 2026 и 2027 годов согласно приложению 11 </w:t>
      </w:r>
      <w:r>
        <w:rPr>
          <w:rFonts w:ascii="Times New Roman" w:eastAsia="Calibri" w:hAnsi="Times New Roman" w:cs="Times New Roman"/>
          <w:spacing w:val="-2"/>
          <w:sz w:val="28"/>
          <w:szCs w:val="28"/>
        </w:rPr>
        <w:br/>
        <w:t>к настоящему Закону.</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4. Утвердить ведомственную структуру расходов бюджета Ханты-Мансийского автономного округа – Югры, в том числе в ее составе перечень главных распорядителей средств бюджета автономного округа:</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2025 год согласно приложению 12 к настоящему Закону;</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на</w:t>
      </w:r>
      <w:r>
        <w:rPr>
          <w:rFonts w:ascii="Times New Roman" w:eastAsia="Calibri" w:hAnsi="Times New Roman" w:cs="Times New Roman"/>
          <w:spacing w:val="-2"/>
          <w:sz w:val="28"/>
          <w:szCs w:val="28"/>
        </w:rPr>
        <w:t xml:space="preserve"> плановый период 2026 и 2027 годов согласно приложению 13 </w:t>
      </w:r>
      <w:r>
        <w:rPr>
          <w:rFonts w:ascii="Times New Roman" w:eastAsia="Calibri" w:hAnsi="Times New Roman" w:cs="Times New Roman"/>
          <w:spacing w:val="-2"/>
          <w:sz w:val="28"/>
          <w:szCs w:val="28"/>
        </w:rPr>
        <w:br/>
        <w:t>к настоящему Закону.</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 Утвердить общий объем бюджетных ассигнований на исполнение публичных нормативных обязательств:</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2025 год в сумме 30 987 989,3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на 2026 год в сумме 15 568 084,1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 на 2027 год в сумме 15 407 503,8 тыс. рублей.</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6. Утвердить объем бюджетных ассигнований дорожного фонда Ханты-Мансийского автономного округа </w:t>
      </w:r>
      <w:r>
        <w:rPr>
          <w:rFonts w:ascii="Times New Roman" w:eastAsia="Calibri" w:hAnsi="Times New Roman" w:cs="Times New Roman"/>
          <w:spacing w:val="-2"/>
          <w:sz w:val="28"/>
          <w:szCs w:val="28"/>
        </w:rPr>
        <w:t>–</w:t>
      </w:r>
      <w:r>
        <w:rPr>
          <w:rFonts w:ascii="Times New Roman" w:eastAsia="Calibri" w:hAnsi="Times New Roman" w:cs="Times New Roman"/>
          <w:spacing w:val="-4"/>
          <w:sz w:val="28"/>
          <w:szCs w:val="28"/>
        </w:rPr>
        <w:t xml:space="preserve"> Югры:</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2025 год в сумме 41 476 207,8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на 2026 год в сумме 23 361 883,1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spacing w:val="-4"/>
          <w:sz w:val="28"/>
          <w:szCs w:val="28"/>
        </w:rPr>
        <w:t>3) на 2027 год в сумме 36 012 833,1 тыс. рублей</w:t>
      </w:r>
      <w:r>
        <w:rPr>
          <w:rFonts w:ascii="Times New Roman" w:eastAsia="Calibri" w:hAnsi="Times New Roman" w:cs="Times New Roman"/>
          <w:color w:val="000000" w:themeColor="text1"/>
          <w:spacing w:val="-4"/>
          <w:sz w:val="28"/>
          <w:szCs w:val="28"/>
        </w:rPr>
        <w:t>.</w:t>
      </w:r>
    </w:p>
    <w:p w:rsidR="00CF4B94" w:rsidRDefault="00116D5C">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Установить, что в соответствии с пунктом 12 статьи 2 Закона Ханты-Мансийского автономного округа – Югры "О дорожном фонде Ханты-Мансийского автономного округа – Югры" в дорожный фонд Ханты-Мансийского автономного округа – Югры подлежат зачислению иные доходы бюджета автономного округа:</w:t>
      </w:r>
    </w:p>
    <w:p w:rsidR="00CF4B94" w:rsidRDefault="00116D5C">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в 2025 году в сумме 16 512 923,9 тыс. рублей;</w:t>
      </w:r>
    </w:p>
    <w:p w:rsidR="00CF4B94" w:rsidRDefault="00116D5C">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в 2026 году в сумме 4 399 706,5 тыс. рублей;</w:t>
      </w:r>
    </w:p>
    <w:p w:rsidR="00CF4B94" w:rsidRDefault="00116D5C">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в 2027 году в сумме 10 615 470,8 тыс. рублей.</w:t>
      </w:r>
    </w:p>
    <w:p w:rsidR="00CF4B94" w:rsidRDefault="00CF4B94">
      <w:pPr>
        <w:pStyle w:val="afd"/>
        <w:tabs>
          <w:tab w:val="left" w:pos="1701"/>
        </w:tabs>
        <w:spacing w:after="0" w:line="240" w:lineRule="auto"/>
        <w:ind w:left="0" w:firstLine="709"/>
        <w:jc w:val="both"/>
        <w:rPr>
          <w:rFonts w:ascii="Times New Roman" w:eastAsia="Calibri" w:hAnsi="Times New Roman" w:cs="Times New Roman"/>
          <w:spacing w:val="-4"/>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7404"/>
      </w:tblGrid>
      <w:tr w:rsidR="00CF4B94">
        <w:tc>
          <w:tcPr>
            <w:tcW w:w="1984" w:type="dxa"/>
          </w:tcPr>
          <w:p w:rsidR="00CF4B94" w:rsidRDefault="00116D5C">
            <w:pPr>
              <w:tabs>
                <w:tab w:val="left" w:pos="459"/>
              </w:tabs>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Статья 4. </w:t>
            </w:r>
          </w:p>
        </w:tc>
        <w:tc>
          <w:tcPr>
            <w:tcW w:w="7586" w:type="dxa"/>
          </w:tcPr>
          <w:p w:rsidR="00CF4B94" w:rsidRDefault="00116D5C">
            <w:pPr>
              <w:tabs>
                <w:tab w:val="left" w:pos="1701"/>
              </w:tabs>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 xml:space="preserve">Особенности использования бюджетных ассигнований </w:t>
            </w:r>
          </w:p>
          <w:p w:rsidR="00CF4B94" w:rsidRDefault="00116D5C">
            <w:pPr>
              <w:tabs>
                <w:tab w:val="left" w:pos="1701"/>
              </w:tabs>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 xml:space="preserve">на обеспечение деятельности государственных органов </w:t>
            </w:r>
          </w:p>
          <w:p w:rsidR="00CF4B94" w:rsidRDefault="00116D5C">
            <w:pPr>
              <w:tabs>
                <w:tab w:val="left" w:pos="1701"/>
              </w:tabs>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и государственных учреждений автономного округа</w:t>
            </w:r>
          </w:p>
          <w:p w:rsidR="00CF4B94" w:rsidRDefault="00CF4B94">
            <w:pPr>
              <w:tabs>
                <w:tab w:val="left" w:pos="1701"/>
              </w:tabs>
              <w:jc w:val="both"/>
              <w:rPr>
                <w:rFonts w:ascii="Times New Roman" w:eastAsia="Calibri" w:hAnsi="Times New Roman" w:cs="Times New Roman"/>
                <w:spacing w:val="-2"/>
                <w:sz w:val="28"/>
                <w:szCs w:val="28"/>
              </w:rPr>
            </w:pPr>
          </w:p>
        </w:tc>
      </w:tr>
    </w:tbl>
    <w:p w:rsidR="00CF4B94" w:rsidRDefault="00116D5C">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color w:val="000000" w:themeColor="text1"/>
          <w:spacing w:val="-2"/>
          <w:sz w:val="28"/>
          <w:szCs w:val="28"/>
        </w:rPr>
        <w:t xml:space="preserve">1. Органы государственной власти автономного округа и иные государственные органы автономного округа (далее также – государственные органы автономного округа) не вправе принимать решения, приводящие к увеличению в 2025 году и в плановом периоде 2026 и 2027 годов численности лиц, замещающих должности государственной гражданской службы автономного округа, а также работников государственных органов </w:t>
      </w:r>
      <w:r>
        <w:rPr>
          <w:rFonts w:ascii="Times New Roman" w:eastAsia="Calibri" w:hAnsi="Times New Roman" w:cs="Times New Roman"/>
          <w:spacing w:val="-2"/>
          <w:sz w:val="28"/>
          <w:szCs w:val="28"/>
        </w:rPr>
        <w:t xml:space="preserve">автономного </w:t>
      </w:r>
      <w:r>
        <w:rPr>
          <w:rFonts w:ascii="Times New Roman" w:eastAsia="Calibri" w:hAnsi="Times New Roman" w:cs="Times New Roman"/>
          <w:spacing w:val="-2"/>
          <w:sz w:val="28"/>
          <w:szCs w:val="28"/>
        </w:rPr>
        <w:lastRenderedPageBreak/>
        <w:t xml:space="preserve">округа </w:t>
      </w:r>
      <w:r>
        <w:rPr>
          <w:rFonts w:ascii="Times New Roman" w:eastAsia="Calibri" w:hAnsi="Times New Roman" w:cs="Times New Roman"/>
          <w:color w:val="000000" w:themeColor="text1"/>
          <w:spacing w:val="-2"/>
          <w:sz w:val="28"/>
          <w:szCs w:val="28"/>
        </w:rPr>
        <w:t xml:space="preserve">(за исключением случаев принятия решений по наделению федеральными законами, нормативными правовыми актами автономного округа функциями (полномочиями), ранее не осуществляемыми государственными органами </w:t>
      </w:r>
      <w:r>
        <w:rPr>
          <w:rFonts w:ascii="Times New Roman" w:eastAsia="Calibri" w:hAnsi="Times New Roman" w:cs="Times New Roman"/>
          <w:spacing w:val="-2"/>
          <w:sz w:val="28"/>
          <w:szCs w:val="28"/>
        </w:rPr>
        <w:t xml:space="preserve">автономного округа) </w:t>
      </w:r>
      <w:r>
        <w:rPr>
          <w:rFonts w:ascii="Times New Roman" w:eastAsia="Calibri" w:hAnsi="Times New Roman" w:cs="Times New Roman"/>
          <w:color w:val="000000" w:themeColor="text1"/>
          <w:spacing w:val="-2"/>
          <w:sz w:val="28"/>
          <w:szCs w:val="28"/>
        </w:rPr>
        <w:t xml:space="preserve">и государственных учреждений автономного округа (за исключением случаев принятия решений по наделению </w:t>
      </w:r>
      <w:r>
        <w:rPr>
          <w:rFonts w:ascii="Times New Roman" w:hAnsi="Times New Roman" w:cs="Times New Roman"/>
          <w:sz w:val="28"/>
          <w:szCs w:val="28"/>
        </w:rPr>
        <w:t xml:space="preserve">федеральными законами, нормативными правовыми актами автономного округа функциями (полномочиями), ранее не осуществляемыми государственными учреждениями автономного округа, </w:t>
      </w:r>
      <w:r>
        <w:rPr>
          <w:rFonts w:ascii="Times New Roman" w:eastAsia="Calibri" w:hAnsi="Times New Roman" w:cs="Times New Roman"/>
          <w:color w:val="000000" w:themeColor="text1"/>
          <w:spacing w:val="-2"/>
          <w:sz w:val="28"/>
          <w:szCs w:val="28"/>
        </w:rPr>
        <w:t xml:space="preserve">по вводу (приобретению) новых объектов капитального строительства). </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Рекомендовать органам местного самоуправления муниципальных образований автономного округа не принимать решения, приводящие к увеличению численности лиц, замещающих муниципальные должности, должности муниципальной службы, а также работников органов местного самоуправления муниципальных образований автономного округа и муниципальных учреждений, за исключением случаев, указанных в пункте 1 настоящей статьи.</w:t>
      </w:r>
    </w:p>
    <w:p w:rsidR="00CF4B94" w:rsidRDefault="00CF4B94">
      <w:pPr>
        <w:tabs>
          <w:tab w:val="left" w:pos="1701"/>
        </w:tabs>
        <w:spacing w:after="0" w:line="240" w:lineRule="auto"/>
        <w:jc w:val="both"/>
        <w:rPr>
          <w:rFonts w:ascii="Times New Roman" w:eastAsia="Calibri" w:hAnsi="Times New Roman" w:cs="Times New Roman"/>
          <w:spacing w:val="-2"/>
          <w:sz w:val="28"/>
          <w:szCs w:val="28"/>
        </w:rPr>
      </w:pPr>
    </w:p>
    <w:p w:rsidR="00CF4B94" w:rsidRDefault="00116D5C">
      <w:pPr>
        <w:tabs>
          <w:tab w:val="left" w:pos="1701"/>
        </w:tabs>
        <w:spacing w:after="0" w:line="240" w:lineRule="auto"/>
        <w:ind w:firstLine="709"/>
        <w:jc w:val="both"/>
        <w:rPr>
          <w:rFonts w:ascii="Times New Roman" w:eastAsia="Calibri" w:hAnsi="Times New Roman" w:cs="Times New Roman"/>
          <w:b/>
          <w:spacing w:val="-2"/>
          <w:sz w:val="28"/>
          <w:szCs w:val="28"/>
        </w:rPr>
      </w:pPr>
      <w:r>
        <w:rPr>
          <w:rFonts w:ascii="Times New Roman" w:eastAsia="Calibri" w:hAnsi="Times New Roman" w:cs="Times New Roman"/>
          <w:spacing w:val="-2"/>
          <w:sz w:val="28"/>
          <w:szCs w:val="28"/>
        </w:rPr>
        <w:t xml:space="preserve">Статья 5. </w:t>
      </w:r>
      <w:r>
        <w:rPr>
          <w:rFonts w:ascii="Times New Roman" w:eastAsia="Calibri" w:hAnsi="Times New Roman" w:cs="Times New Roman"/>
          <w:b/>
          <w:spacing w:val="-2"/>
          <w:sz w:val="28"/>
          <w:szCs w:val="28"/>
        </w:rPr>
        <w:t>Межбюджетные трансферты</w:t>
      </w:r>
    </w:p>
    <w:p w:rsidR="00CF4B94" w:rsidRDefault="00CF4B94">
      <w:pPr>
        <w:tabs>
          <w:tab w:val="left" w:pos="1701"/>
        </w:tabs>
        <w:spacing w:after="0" w:line="240" w:lineRule="auto"/>
        <w:ind w:firstLine="709"/>
        <w:jc w:val="both"/>
        <w:rPr>
          <w:rFonts w:ascii="Times New Roman" w:eastAsia="Calibri" w:hAnsi="Times New Roman" w:cs="Times New Roman"/>
          <w:spacing w:val="-2"/>
          <w:sz w:val="28"/>
          <w:szCs w:val="28"/>
        </w:rPr>
      </w:pP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Утвердить общий объем межбюджетных трансфертов, получаемых из других бюджетов бюджетной системы Российской Федерации:</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на 2025 год в сумме </w:t>
      </w:r>
      <w:r>
        <w:rPr>
          <w:rFonts w:ascii="Times New Roman" w:hAnsi="Times New Roman"/>
          <w:sz w:val="28"/>
          <w:szCs w:val="28"/>
        </w:rPr>
        <w:t xml:space="preserve">54 052 120,8 </w:t>
      </w:r>
      <w:r>
        <w:rPr>
          <w:rFonts w:ascii="Times New Roman" w:eastAsia="Calibri" w:hAnsi="Times New Roman" w:cs="Times New Roman"/>
          <w:spacing w:val="-4"/>
          <w:sz w:val="28"/>
          <w:szCs w:val="28"/>
        </w:rPr>
        <w:t>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на 2026 год в сумме </w:t>
      </w:r>
      <w:r>
        <w:rPr>
          <w:rFonts w:ascii="Times New Roman" w:hAnsi="Times New Roman"/>
          <w:sz w:val="28"/>
          <w:szCs w:val="28"/>
        </w:rPr>
        <w:t>52 144 405,2</w:t>
      </w:r>
      <w:r>
        <w:rPr>
          <w:rFonts w:ascii="Times New Roman" w:eastAsia="Calibri" w:hAnsi="Times New Roman" w:cs="Times New Roman"/>
          <w:spacing w:val="-4"/>
          <w:sz w:val="28"/>
          <w:szCs w:val="28"/>
        </w:rPr>
        <w:t xml:space="preserve">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на 2027 год в сумме </w:t>
      </w:r>
      <w:r>
        <w:rPr>
          <w:rFonts w:ascii="Times New Roman" w:hAnsi="Times New Roman"/>
          <w:sz w:val="28"/>
          <w:szCs w:val="28"/>
        </w:rPr>
        <w:t>53 617 290,0</w:t>
      </w:r>
      <w:r>
        <w:rPr>
          <w:rFonts w:ascii="Times New Roman" w:eastAsia="Calibri" w:hAnsi="Times New Roman" w:cs="Times New Roman"/>
          <w:spacing w:val="-4"/>
          <w:sz w:val="28"/>
          <w:szCs w:val="28"/>
        </w:rPr>
        <w:t xml:space="preserve">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в том числе объем межбюджетных трансфертов, получаемых:</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из федерального бюджета:</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2025 год в сумме 21 486 312,8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на 2026 год в сумме 16 355 143,2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 на 2027 год в сумме 19 051 371,0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из бюджета Тюменской области:</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2025 год в сумме 32 565 808,0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на 2026 год в сумме 35 789 262,0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на 2027 год в сумме 34 565 919,0 тыс. рублей. </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Утвердить объем межбюджетных трансфертов, предоставляемых другим бюджетам бюджетной системы Российской Федерации:</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на 2025 год в сумме 179 614 872,8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на 2026 год в сумме 178 682 447,6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 на 2027 год в сумме 173 050 182,3 тыс. рублей.</w:t>
      </w:r>
    </w:p>
    <w:p w:rsidR="00CF4B94" w:rsidRDefault="00116D5C">
      <w:pPr>
        <w:pStyle w:val="afd"/>
        <w:tabs>
          <w:tab w:val="left" w:pos="1134"/>
        </w:tabs>
        <w:spacing w:after="0" w:line="235" w:lineRule="auto"/>
        <w:ind w:left="0" w:firstLine="709"/>
        <w:jc w:val="both"/>
        <w:rPr>
          <w:rFonts w:ascii="Times New Roman" w:eastAsia="Times New Roman" w:hAnsi="Times New Roman" w:cs="Times New Roman"/>
          <w:spacing w:val="-4"/>
          <w:sz w:val="28"/>
          <w:szCs w:val="20"/>
          <w:lang w:eastAsia="ru-RU"/>
        </w:rPr>
      </w:pPr>
      <w:r>
        <w:rPr>
          <w:rFonts w:ascii="Times New Roman" w:eastAsia="Calibri" w:hAnsi="Times New Roman" w:cs="Times New Roman"/>
          <w:spacing w:val="-4"/>
          <w:sz w:val="28"/>
          <w:szCs w:val="28"/>
        </w:rPr>
        <w:t xml:space="preserve">3. </w:t>
      </w:r>
      <w:r>
        <w:rPr>
          <w:rFonts w:ascii="Times New Roman" w:eastAsia="Times New Roman" w:hAnsi="Times New Roman" w:cs="Times New Roman"/>
          <w:spacing w:val="-4"/>
          <w:sz w:val="28"/>
          <w:szCs w:val="20"/>
          <w:lang w:eastAsia="ru-RU"/>
        </w:rPr>
        <w:t>Утвердить общий объем межбюджетных трансфертов, предоставляемых федеральному бюджету:</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1) на 2025 год в сумме 187 199,9 тыс. рублей;</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2) на 2026 год в сумме 191 982,5 тыс. рублей;</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3) на 2027 год в сумме 196 956,3 тыс. рублей,</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в том числе:</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 xml:space="preserve">объем субвенции, предоставление которой осуществляется в соответствии с Соглашением между Министерством внутренних дел Российской Федерации и </w:t>
      </w:r>
      <w:r>
        <w:rPr>
          <w:rFonts w:ascii="Times New Roman" w:eastAsia="Times New Roman" w:hAnsi="Times New Roman" w:cs="Times New Roman"/>
          <w:spacing w:val="-4"/>
          <w:sz w:val="28"/>
          <w:szCs w:val="20"/>
          <w:lang w:eastAsia="ru-RU"/>
        </w:rPr>
        <w:lastRenderedPageBreak/>
        <w:t xml:space="preserve">Правительством Ханты-Мансийского автономного округа – Югры (далее </w:t>
      </w:r>
      <w:r>
        <w:rPr>
          <w:rFonts w:ascii="Times New Roman" w:eastAsia="Times New Roman" w:hAnsi="Times New Roman" w:cs="Times New Roman"/>
          <w:spacing w:val="-4"/>
          <w:sz w:val="28"/>
          <w:szCs w:val="20"/>
          <w:lang w:eastAsia="ru-RU"/>
        </w:rPr>
        <w:br/>
        <w:t xml:space="preserve">также </w:t>
      </w:r>
      <w:r>
        <w:rPr>
          <w:rFonts w:ascii="Times New Roman" w:eastAsia="Calibri" w:hAnsi="Times New Roman" w:cs="Times New Roman"/>
          <w:color w:val="000000" w:themeColor="text1"/>
          <w:spacing w:val="-2"/>
          <w:sz w:val="28"/>
          <w:szCs w:val="28"/>
        </w:rPr>
        <w:t>– Правительство автономного округа)</w:t>
      </w:r>
      <w:r>
        <w:rPr>
          <w:rFonts w:ascii="Times New Roman" w:eastAsia="Times New Roman" w:hAnsi="Times New Roman" w:cs="Times New Roman"/>
          <w:spacing w:val="-4"/>
          <w:sz w:val="28"/>
          <w:szCs w:val="20"/>
          <w:lang w:eastAsia="ru-RU"/>
        </w:rPr>
        <w:t xml:space="preserve">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w:t>
      </w:r>
    </w:p>
    <w:p w:rsidR="00CF4B94" w:rsidRDefault="00116D5C">
      <w:pPr>
        <w:tabs>
          <w:tab w:val="left" w:pos="1134"/>
        </w:tabs>
        <w:spacing w:line="235" w:lineRule="auto"/>
        <w:ind w:left="720"/>
        <w:contextualSpacing/>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1) на 2025 год в сумме 5</w:t>
      </w:r>
      <w:r>
        <w:rPr>
          <w:rFonts w:ascii="Times New Roman" w:eastAsia="Times New Roman" w:hAnsi="Times New Roman" w:cs="Times New Roman"/>
          <w:spacing w:val="-4"/>
          <w:sz w:val="28"/>
          <w:szCs w:val="20"/>
          <w:lang w:val="en-US" w:eastAsia="ru-RU"/>
        </w:rPr>
        <w:t> </w:t>
      </w:r>
      <w:r>
        <w:rPr>
          <w:rFonts w:ascii="Times New Roman" w:eastAsia="Times New Roman" w:hAnsi="Times New Roman" w:cs="Times New Roman"/>
          <w:spacing w:val="-4"/>
          <w:sz w:val="28"/>
          <w:szCs w:val="20"/>
          <w:lang w:eastAsia="ru-RU"/>
        </w:rPr>
        <w:t>334,0 тыс. рублей;</w:t>
      </w:r>
    </w:p>
    <w:p w:rsidR="00CF4B94" w:rsidRDefault="00116D5C">
      <w:pPr>
        <w:tabs>
          <w:tab w:val="left" w:pos="1134"/>
        </w:tabs>
        <w:spacing w:line="235" w:lineRule="auto"/>
        <w:ind w:left="720"/>
        <w:contextualSpacing/>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2) на 2026 год в сумме 6 032,1 тыс. рублей;</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 xml:space="preserve">3) на 2027 год в сумме 6 032,1 тыс. рублей, </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 xml:space="preserve">объем субсидии, предоставляемой в целях софинансирования расходных обязательств Российской Федерации </w:t>
      </w:r>
      <w:r>
        <w:rPr>
          <w:rFonts w:ascii="Times New Roman" w:eastAsia="Calibri" w:hAnsi="Times New Roman" w:cs="Times New Roman"/>
          <w:sz w:val="28"/>
          <w:szCs w:val="28"/>
          <w:lang w:eastAsia="ru-RU"/>
        </w:rPr>
        <w:t>по материально-техническому обеспечению деятельности полиции</w:t>
      </w:r>
      <w:r>
        <w:rPr>
          <w:rFonts w:ascii="Times New Roman" w:eastAsia="Times New Roman" w:hAnsi="Times New Roman" w:cs="Times New Roman"/>
          <w:spacing w:val="-4"/>
          <w:sz w:val="28"/>
          <w:szCs w:val="20"/>
          <w:lang w:eastAsia="ru-RU"/>
        </w:rPr>
        <w:t>:</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1) на 2025 год в сумме 60 000,0 тыс. рублей;</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2) на 2026 год в сумме 60 000,0 тыс. рублей;</w:t>
      </w:r>
    </w:p>
    <w:p w:rsidR="00CF4B94" w:rsidRDefault="00116D5C">
      <w:pPr>
        <w:pStyle w:val="afd"/>
        <w:tabs>
          <w:tab w:val="left" w:pos="1701"/>
        </w:tabs>
        <w:spacing w:after="0" w:line="240" w:lineRule="auto"/>
        <w:ind w:left="0" w:firstLine="709"/>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3) на 2027 год в сумме 60 000,0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объем субсидии, предоставляемой в целях софинансирования расходных обязательств Российской Федерации на содержание судовых ходов и инфраструктуры внутренних водных путей на внутренних водных путях федерального значения, расположенных в границах Ханты-Мансийского автономного округа – Югры:</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1) на 2025 год в сумме 119 567,8 тыс. рублей;</w:t>
      </w:r>
    </w:p>
    <w:p w:rsidR="00CF4B94" w:rsidRDefault="00116D5C">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Pr>
          <w:rFonts w:ascii="Times New Roman" w:eastAsia="Times New Roman" w:hAnsi="Times New Roman" w:cs="Times New Roman"/>
          <w:spacing w:val="-4"/>
          <w:sz w:val="28"/>
          <w:szCs w:val="20"/>
          <w:lang w:eastAsia="ru-RU"/>
        </w:rPr>
        <w:t>2) на 2026 год в сумме 124 350,4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Times New Roman" w:hAnsi="Times New Roman" w:cs="Times New Roman"/>
          <w:spacing w:val="-4"/>
          <w:sz w:val="28"/>
          <w:szCs w:val="20"/>
          <w:lang w:eastAsia="ru-RU"/>
        </w:rPr>
        <w:t>3) на 2027 год в сумме 129 324,2 тыс. рублей</w:t>
      </w:r>
      <w:r>
        <w:rPr>
          <w:rFonts w:ascii="Times New Roman" w:eastAsia="Calibri" w:hAnsi="Times New Roman" w:cs="Times New Roman"/>
          <w:spacing w:val="-4"/>
          <w:sz w:val="28"/>
          <w:szCs w:val="28"/>
        </w:rPr>
        <w:t>,</w:t>
      </w:r>
    </w:p>
    <w:p w:rsidR="00CF4B94" w:rsidRDefault="00116D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объем субсидии, предоставляемой в целях оказания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CF4B94" w:rsidRDefault="00116D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 2025 год в сумме 2 298,1 тыс. рублей;</w:t>
      </w:r>
    </w:p>
    <w:p w:rsidR="00CF4B94" w:rsidRDefault="00116D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на 2026 год в сумме 1 600,0 тыс. рублей;</w:t>
      </w:r>
    </w:p>
    <w:p w:rsidR="00CF4B94" w:rsidRDefault="00116D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 2027 год в сумме 1 600,0 тыс. рублей.</w:t>
      </w:r>
    </w:p>
    <w:p w:rsidR="00CF4B94" w:rsidRDefault="00116D5C">
      <w:pPr>
        <w:spacing w:after="0" w:line="24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Установить, что не использованные на 1 января 2025 года остатки средств бюджета автономного округа, предоставленные федеральному бюджету, подлежат возврату в бюджет автономного округа в 2025 году в течение первых 15 рабочих дней.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pacing w:val="-4"/>
          <w:sz w:val="28"/>
          <w:szCs w:val="28"/>
        </w:rPr>
        <w:t xml:space="preserve">4. </w:t>
      </w:r>
      <w:r>
        <w:rPr>
          <w:rFonts w:ascii="Times New Roman" w:eastAsia="Calibri" w:hAnsi="Times New Roman" w:cs="Times New Roman"/>
          <w:sz w:val="28"/>
          <w:szCs w:val="28"/>
        </w:rPr>
        <w:t xml:space="preserve">Утвердить общий объем межбюджетных трансфертов, предоставляемых бюджету Фонда пенсионного и социального страхования Российской Федерации: </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на 2025 год в сумме 18 219 109,9 тыс. рублей;</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на 2026 год в сумме 20 590 859,7 тыс. рублей;</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на 2027 год в сумме 22 326 528,1 тыс. рублей,</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том числе:</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на 2025 год в сумме 18 000,0 тыс. рублей;</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на 2026 год в сумме 19 000,0 тыс. рублей;</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на 2027 год в сумме 20 000,0 тыс. рублей,</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объем субвенции на </w:t>
      </w:r>
      <w:r>
        <w:rPr>
          <w:rFonts w:ascii="Times New Roman" w:eastAsia="Calibri" w:hAnsi="Times New Roman" w:cs="Times New Roman"/>
          <w:spacing w:val="-2"/>
          <w:sz w:val="28"/>
          <w:szCs w:val="28"/>
        </w:rPr>
        <w:t>социальные выплаты безработным гражданам и иным категориям граждан в соответствии с законодательством о занятости населения</w:t>
      </w:r>
      <w:r>
        <w:rPr>
          <w:rFonts w:ascii="Times New Roman" w:eastAsia="Calibri" w:hAnsi="Times New Roman" w:cs="Times New Roman"/>
          <w:sz w:val="28"/>
          <w:szCs w:val="28"/>
        </w:rPr>
        <w:t>:</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объем субвенции на ежемесячное пособие в связи с рождением и воспитанием ребенка: </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на 2025 год в сумме 18 201 109,9 тыс. рублей;</w:t>
      </w:r>
    </w:p>
    <w:p w:rsidR="00CF4B94" w:rsidRDefault="00116D5C">
      <w:pPr>
        <w:spacing w:after="0" w:line="235"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на 2026 год в сумме 20 571 859,7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на 2027 год в сумме 22 306 528,1 тыс. рублей.</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hAnsi="Times New Roman" w:cs="Times New Roman"/>
          <w:spacing w:val="-4"/>
          <w:sz w:val="28"/>
          <w:szCs w:val="28"/>
        </w:rPr>
        <w:t xml:space="preserve">Установить, что не использованные на 1 января 2025 года остатки средств, полученные </w:t>
      </w:r>
      <w:r>
        <w:rPr>
          <w:rFonts w:ascii="Times New Roman" w:eastAsia="Calibri" w:hAnsi="Times New Roman" w:cs="Times New Roman"/>
          <w:sz w:val="28"/>
          <w:szCs w:val="28"/>
        </w:rPr>
        <w:t>Фондом пенсионного и социального страхования Российской Федерации</w:t>
      </w:r>
      <w:r>
        <w:rPr>
          <w:rFonts w:ascii="Times New Roman" w:hAnsi="Times New Roman" w:cs="Times New Roman"/>
          <w:spacing w:val="-4"/>
          <w:sz w:val="28"/>
          <w:szCs w:val="28"/>
        </w:rPr>
        <w:t xml:space="preserve"> из бюджета автономного округа, подлежат возврату в бюджет автономного округа в 2025 году в течение первых 15 рабочих дней.</w:t>
      </w:r>
    </w:p>
    <w:p w:rsidR="00CF4B94" w:rsidRDefault="00116D5C">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5. Утвердить объем иного межбюджетного трансферта бюджету территориального фонда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p w:rsidR="00CF4B94" w:rsidRDefault="00116D5C">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1) на 2025 год в сумме 8 422 964,9 тыс. рублей;</w:t>
      </w:r>
    </w:p>
    <w:p w:rsidR="00CF4B94" w:rsidRDefault="00116D5C">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2) на 2026 год в сумме 8 422 964,9 тыс. рублей;</w:t>
      </w:r>
    </w:p>
    <w:p w:rsidR="00CF4B94" w:rsidRDefault="00116D5C">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3) на 2027 год в сумме 8 422 964,9 тыс. рублей.</w:t>
      </w:r>
    </w:p>
    <w:p w:rsidR="00CF4B94" w:rsidRDefault="00116D5C">
      <w:pPr>
        <w:pStyle w:val="afd"/>
        <w:spacing w:after="0" w:line="240" w:lineRule="auto"/>
        <w:ind w:left="0"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Установить, что не использованные на 1 января 2025 года остатки средств, полученные территориальным фондом обязательного медицинского страхования Ханты-Мансийского автономного округа – Югры из бюджета автономного округа, подлежат возврату в бюджет автономного округа </w:t>
      </w:r>
      <w:r>
        <w:rPr>
          <w:rFonts w:ascii="Times New Roman" w:hAnsi="Times New Roman" w:cs="Times New Roman"/>
          <w:spacing w:val="-4"/>
          <w:sz w:val="28"/>
          <w:szCs w:val="28"/>
        </w:rPr>
        <w:br/>
        <w:t>в 2025 году в течение первых 15 рабочих дней.</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6. Утвердить объем межбюджетных трансфертов, предоставляемых бюджетам муниципальных районов и городских округов Ханты-Мансийского автономного округа – Югры:</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на 2025 год в сумме 152 785 598,1 тыс. рублей </w:t>
      </w:r>
      <w:r>
        <w:rPr>
          <w:rFonts w:ascii="Times New Roman" w:eastAsia="Calibri" w:hAnsi="Times New Roman" w:cs="Times New Roman"/>
          <w:spacing w:val="-2"/>
          <w:sz w:val="28"/>
          <w:szCs w:val="28"/>
        </w:rPr>
        <w:t xml:space="preserve">согласно приложению 16 </w:t>
      </w:r>
      <w:r>
        <w:rPr>
          <w:rFonts w:ascii="Times New Roman" w:eastAsia="Calibri" w:hAnsi="Times New Roman" w:cs="Times New Roman"/>
          <w:spacing w:val="-2"/>
          <w:sz w:val="28"/>
          <w:szCs w:val="28"/>
        </w:rPr>
        <w:br/>
        <w:t>к настоящему Закону</w:t>
      </w:r>
      <w:r>
        <w:rPr>
          <w:rFonts w:ascii="Times New Roman" w:eastAsia="Calibri" w:hAnsi="Times New Roman" w:cs="Times New Roman"/>
          <w:spacing w:val="-4"/>
          <w:sz w:val="28"/>
          <w:szCs w:val="28"/>
        </w:rPr>
        <w:t>;</w:t>
      </w:r>
    </w:p>
    <w:p w:rsidR="00CF4B94" w:rsidRDefault="00116D5C">
      <w:pPr>
        <w:pStyle w:val="af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на 2026 год в сумме 149 476 640,5 тыс. рублей и </w:t>
      </w:r>
      <w:r>
        <w:rPr>
          <w:rFonts w:ascii="Times New Roman" w:eastAsia="Calibri" w:hAnsi="Times New Roman" w:cs="Times New Roman"/>
          <w:spacing w:val="-2"/>
          <w:sz w:val="28"/>
          <w:szCs w:val="28"/>
        </w:rPr>
        <w:t xml:space="preserve">на 2027 год в сумме 142 103 733,0 </w:t>
      </w:r>
      <w:r>
        <w:rPr>
          <w:rFonts w:ascii="Times New Roman" w:eastAsia="Calibri" w:hAnsi="Times New Roman" w:cs="Times New Roman"/>
          <w:spacing w:val="-4"/>
          <w:sz w:val="28"/>
          <w:szCs w:val="28"/>
        </w:rPr>
        <w:t>тыс. рублей</w:t>
      </w:r>
      <w:r>
        <w:rPr>
          <w:rFonts w:ascii="Times New Roman" w:eastAsia="Calibri" w:hAnsi="Times New Roman" w:cs="Times New Roman"/>
          <w:spacing w:val="-2"/>
          <w:sz w:val="28"/>
          <w:szCs w:val="28"/>
        </w:rPr>
        <w:t xml:space="preserve"> согласно приложению 17 к настоящему Закону</w:t>
      </w:r>
      <w:r>
        <w:rPr>
          <w:rFonts w:ascii="Times New Roman" w:eastAsia="Calibri" w:hAnsi="Times New Roman" w:cs="Times New Roman"/>
          <w:spacing w:val="-4"/>
          <w:sz w:val="28"/>
          <w:szCs w:val="28"/>
        </w:rPr>
        <w:t>.</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Утвердить распределение межбюджетных трансфертов бюджетам муниципальных районов и городских округов Ханты-Мансийского автономного округа – Югры:</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на 2025 год</w:t>
      </w:r>
      <w:r>
        <w:rPr>
          <w:rFonts w:ascii="Times New Roman" w:eastAsia="Calibri" w:hAnsi="Times New Roman" w:cs="Times New Roman"/>
          <w:spacing w:val="-2"/>
          <w:sz w:val="28"/>
          <w:szCs w:val="28"/>
        </w:rPr>
        <w:t xml:space="preserve"> согласно приложению 18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на плановый период 2026 и 2027 годов согласно приложению 19 </w:t>
      </w:r>
      <w:r>
        <w:rPr>
          <w:rFonts w:ascii="Times New Roman" w:eastAsia="Calibri" w:hAnsi="Times New Roman" w:cs="Times New Roman"/>
          <w:spacing w:val="-2"/>
          <w:sz w:val="28"/>
          <w:szCs w:val="28"/>
        </w:rPr>
        <w:br/>
        <w:t>к настоящему Закону.</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7. Утвердить общий объем дотаций бюджетам муниципальных районов </w:t>
      </w:r>
      <w:r>
        <w:rPr>
          <w:rFonts w:ascii="Times New Roman" w:eastAsia="Calibri" w:hAnsi="Times New Roman" w:cs="Times New Roman"/>
          <w:spacing w:val="-2"/>
          <w:sz w:val="28"/>
          <w:szCs w:val="28"/>
        </w:rPr>
        <w:br/>
        <w:t>и городских округов Ханты-Мансийского автономного округа – Югры:</w:t>
      </w:r>
    </w:p>
    <w:p w:rsidR="00CF4B94" w:rsidRDefault="00116D5C">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на 2025 год в сумме 12 881 767,9 тыс. рублей;</w:t>
      </w:r>
    </w:p>
    <w:p w:rsidR="00CF4B94" w:rsidRDefault="00116D5C">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на 2026 год в сумме 17 260 475,5 тыс. рублей;</w:t>
      </w:r>
    </w:p>
    <w:p w:rsidR="00CF4B94" w:rsidRDefault="00116D5C">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на 2027 год в сумме 17 346 462,2 тыс. рублей.</w:t>
      </w:r>
    </w:p>
    <w:p w:rsidR="00CF4B94" w:rsidRDefault="00116D5C">
      <w:pPr>
        <w:tabs>
          <w:tab w:val="left" w:pos="993"/>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Утвердить распределение дотаций бюджетам муниципальных районов </w:t>
      </w:r>
      <w:r>
        <w:rPr>
          <w:rFonts w:ascii="Times New Roman" w:eastAsia="Calibri" w:hAnsi="Times New Roman" w:cs="Times New Roman"/>
          <w:spacing w:val="-2"/>
          <w:sz w:val="28"/>
          <w:szCs w:val="28"/>
        </w:rPr>
        <w:br/>
        <w:t>и городских округов Ханты-Мансийского автономного округа – Югры:</w:t>
      </w:r>
    </w:p>
    <w:p w:rsidR="00CF4B94" w:rsidRDefault="00116D5C">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на 2025 год согласно приложению 20 к настоящему Закону;</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lastRenderedPageBreak/>
        <w:t xml:space="preserve">на плановый период 2026 и 2027 годов согласно приложению 21 </w:t>
      </w:r>
      <w:r>
        <w:rPr>
          <w:rFonts w:ascii="Times New Roman" w:eastAsia="Calibri" w:hAnsi="Times New Roman" w:cs="Times New Roman"/>
          <w:spacing w:val="-2"/>
          <w:sz w:val="28"/>
          <w:szCs w:val="28"/>
        </w:rPr>
        <w:br/>
        <w:t>к настоящему Закону.</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8. Утвердить общий объем дотаций на выравнивание бюджетной обеспеченности муниципальных районов (городских округов) бюджетам муниципальных районов, городских округов автономного округа:</w:t>
      </w:r>
    </w:p>
    <w:p w:rsidR="00CF4B94" w:rsidRDefault="00116D5C">
      <w:pPr>
        <w:pStyle w:val="afd"/>
        <w:tabs>
          <w:tab w:val="left" w:pos="993"/>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2025 год в сумме 18 500 381,4 тыс. рублей;</w:t>
      </w:r>
    </w:p>
    <w:p w:rsidR="00CF4B94" w:rsidRDefault="00116D5C">
      <w:pPr>
        <w:pStyle w:val="afd"/>
        <w:tabs>
          <w:tab w:val="left" w:pos="993"/>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2026 год в сумме 19 240 396,7 тыс. рублей;</w:t>
      </w:r>
    </w:p>
    <w:p w:rsidR="00CF4B94" w:rsidRDefault="00116D5C">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на 2027 год в сумме 20 010 012,6 тыс. рублей.</w:t>
      </w:r>
    </w:p>
    <w:p w:rsidR="00CF4B94" w:rsidRDefault="00116D5C">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Установить значение критерия выравнивания расчетной бюджетной обеспеченности муниципальных районов (городских округов) автономного округа, используемого при определении объема дотаций на выравнивание бюджетной обеспеченности муниципальных районов (городских округов) автономного округа:</w:t>
      </w:r>
    </w:p>
    <w:p w:rsidR="00CF4B94" w:rsidRDefault="00116D5C">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2025 год – 1,318;</w:t>
      </w:r>
    </w:p>
    <w:p w:rsidR="00CF4B94" w:rsidRDefault="00116D5C">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2026 год – 1,309;</w:t>
      </w:r>
    </w:p>
    <w:p w:rsidR="00CF4B94" w:rsidRDefault="00116D5C">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на 2027 год – 1,321. </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Утвердить распределение части дотаций на выравнивание бюджетной обеспеченности муниципальных районов (городских округов) Ханты-Мансийского автономного округа – Югры:</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2025 год в сумме 3 366 447,3 тыс. рублей согласно таблице 1 приложения 20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2026 год в сумме 6 800 551,8 тыс. рублей и на 2027 год в сумме 6 886 538,5 тыс. рублей согласно таблице приложения 21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Часть дотаций на выравнивание бюджетной обеспеченности муниципальных районов (городских округов) Ханты-Мансийского автономного округа – Югры предоставляется муниципальным районам (городским округам) автономного округа в виде дополнительных нормативов отчислений в бюджеты муниципальных районов и городских округов Ханты-Мансийского автономного округа – Югры от налога на доходы физических лиц для полной (частичной) замены дотаций на выравнивание бюджетной обеспеченности муниципальных районов (городских округов) согласно приложениям 22 и 23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2025 год в сумме 15 120 383,3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2026 год в сумме 12 439 844,9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2027 год в сумме 13 123 474,1 тыс. рублей.</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Уменьшить объем дотации на выравнивание бюджетной обеспеченности муниципальных районов (городских округов) Ханты-Мансийского автономного округа – Югры в 2025 году на 13 550,8 тыс. рублей в связи с полным отказом Нижневартовского муниципального района автономного округа от получения дотации на выравнивание бюджетной обеспеченности муниципальных районов (городских округов) автономного округа и налоговых доходов по дополнительным нормативам отчислений.</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9. Утвердить объем дотаций на выравнивание бюджетной обеспеченности поселений бюджетам городских, сельских поселений автономного округа:</w:t>
      </w:r>
    </w:p>
    <w:p w:rsidR="00CF4B94" w:rsidRDefault="00CF4B94">
      <w:pPr>
        <w:pStyle w:val="afd"/>
        <w:tabs>
          <w:tab w:val="left" w:pos="993"/>
        </w:tabs>
        <w:spacing w:after="0" w:line="240" w:lineRule="auto"/>
        <w:ind w:left="0" w:firstLine="709"/>
        <w:jc w:val="both"/>
        <w:rPr>
          <w:rFonts w:ascii="Times New Roman" w:eastAsia="Calibri" w:hAnsi="Times New Roman" w:cs="Times New Roman"/>
          <w:spacing w:val="-2"/>
          <w:sz w:val="28"/>
          <w:szCs w:val="28"/>
        </w:rPr>
      </w:pPr>
    </w:p>
    <w:p w:rsidR="00CF4B94" w:rsidRDefault="00116D5C">
      <w:pPr>
        <w:pStyle w:val="afd"/>
        <w:tabs>
          <w:tab w:val="left" w:pos="993"/>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на 2025 год в сумме 930 004,5 тыс. рублей;</w:t>
      </w:r>
    </w:p>
    <w:p w:rsidR="00CF4B94" w:rsidRDefault="00116D5C">
      <w:pPr>
        <w:pStyle w:val="afd"/>
        <w:tabs>
          <w:tab w:val="left" w:pos="993"/>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2026 год в сумме 967 420,8 тыс. рублей;</w:t>
      </w:r>
    </w:p>
    <w:p w:rsidR="00CF4B94" w:rsidRDefault="00116D5C">
      <w:pPr>
        <w:pStyle w:val="afd"/>
        <w:tabs>
          <w:tab w:val="left" w:pos="993"/>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на 2027 год в сумме 1 006 105,1 тыс. рублей.</w:t>
      </w:r>
    </w:p>
    <w:p w:rsidR="00CF4B94" w:rsidRDefault="00116D5C">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Установить значение критерия выравнивания финансовых возможностей городских, сельских поселений по осуществлению органами местного самоуправления поселений полномочий по решению вопросов местного значения, используемого при определении объема дотаций на выравнивание бюджетной обеспеченности поселений:</w:t>
      </w:r>
    </w:p>
    <w:p w:rsidR="00CF4B94" w:rsidRDefault="00116D5C">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2025 год – 2,407;</w:t>
      </w:r>
    </w:p>
    <w:p w:rsidR="00CF4B94" w:rsidRDefault="00116D5C">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2026 год – 2,435;</w:t>
      </w:r>
    </w:p>
    <w:p w:rsidR="00CF4B94" w:rsidRDefault="00116D5C">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на 2027 год – 2,532. </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10. Утвердить общий объем субвенций бюджетам муниципальных районов и городских округов автономного округа:</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2025 год в сумме 85 456 046,6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2026 год в сумме 86 293 779,4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на 2027 год в сумме 86 394 222,5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Утвердить распределение субвенций бюджетам муниципальных районов и городских округов Ханты-Мансийского автономного округа – Югры на выполнение отдельных государственных полномочий органов государственной власти автономного округа,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2025 год согласно приложению 24 и на плановый период 2026 и 2027 годов согласно приложению 25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11. Утвердить общий объем субсидий бюджетам муниципальных районов и городских округов автономного округа:</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на 2025 год в сумме 51 680 727,5 </w:t>
      </w:r>
      <w:r>
        <w:rPr>
          <w:rFonts w:ascii="Times New Roman" w:eastAsia="Calibri" w:hAnsi="Times New Roman" w:cs="Times New Roman"/>
          <w:spacing w:val="-2"/>
          <w:sz w:val="28"/>
          <w:szCs w:val="28"/>
        </w:rPr>
        <w:t>тыс</w:t>
      </w:r>
      <w:r>
        <w:rPr>
          <w:rFonts w:ascii="Times New Roman" w:eastAsia="Calibri" w:hAnsi="Times New Roman" w:cs="Times New Roman"/>
          <w:spacing w:val="-4"/>
          <w:sz w:val="28"/>
          <w:szCs w:val="28"/>
        </w:rPr>
        <w:t>.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на 2026 год в сумме 43 160 367,7 </w:t>
      </w:r>
      <w:r>
        <w:rPr>
          <w:rFonts w:ascii="Times New Roman" w:eastAsia="Calibri" w:hAnsi="Times New Roman" w:cs="Times New Roman"/>
          <w:spacing w:val="-2"/>
          <w:sz w:val="28"/>
          <w:szCs w:val="28"/>
        </w:rPr>
        <w:t>тыс</w:t>
      </w:r>
      <w:r>
        <w:rPr>
          <w:rFonts w:ascii="Times New Roman" w:eastAsia="Calibri" w:hAnsi="Times New Roman" w:cs="Times New Roman"/>
          <w:spacing w:val="-4"/>
          <w:sz w:val="28"/>
          <w:szCs w:val="28"/>
        </w:rPr>
        <w:t>.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на 2027 год в сумме 35 610 500,0 </w:t>
      </w:r>
      <w:r>
        <w:rPr>
          <w:rFonts w:ascii="Times New Roman" w:eastAsia="Calibri" w:hAnsi="Times New Roman" w:cs="Times New Roman"/>
          <w:spacing w:val="-2"/>
          <w:sz w:val="28"/>
          <w:szCs w:val="28"/>
        </w:rPr>
        <w:t>тыс</w:t>
      </w:r>
      <w:r>
        <w:rPr>
          <w:rFonts w:ascii="Times New Roman" w:eastAsia="Calibri" w:hAnsi="Times New Roman" w:cs="Times New Roman"/>
          <w:spacing w:val="-4"/>
          <w:sz w:val="28"/>
          <w:szCs w:val="28"/>
        </w:rPr>
        <w:t>.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Утвердить распределение субсидий бюджетам муниципальных районов и городских округов Ханты-Мансийского автономного округа – Югры на </w:t>
      </w:r>
      <w:r>
        <w:rPr>
          <w:rFonts w:ascii="Times New Roman" w:eastAsia="Calibri" w:hAnsi="Times New Roman" w:cs="Times New Roman"/>
          <w:spacing w:val="-2"/>
          <w:sz w:val="28"/>
          <w:szCs w:val="28"/>
        </w:rPr>
        <w:br/>
        <w:t>2025 год согласно приложению 26 и на плановый период 2026 и 2027 годов согласно приложению 27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Установить, что распределение субсидий бюджетам муниципальных рай</w:t>
      </w:r>
      <w:r>
        <w:rPr>
          <w:rFonts w:ascii="Times New Roman" w:eastAsia="Calibri" w:hAnsi="Times New Roman" w:cs="Times New Roman"/>
          <w:spacing w:val="-2"/>
          <w:sz w:val="28"/>
          <w:szCs w:val="28"/>
        </w:rPr>
        <w:t xml:space="preserve">онов и городских округов автономного округа </w:t>
      </w:r>
      <w:r>
        <w:rPr>
          <w:rFonts w:ascii="Times New Roman" w:eastAsia="Calibri" w:hAnsi="Times New Roman" w:cs="Times New Roman"/>
          <w:color w:val="000000" w:themeColor="text1"/>
          <w:spacing w:val="-2"/>
          <w:sz w:val="28"/>
          <w:szCs w:val="28"/>
        </w:rPr>
        <w:t>(за исключением субсидий, распределение которых утверждено приложениями 26 и 27 к настоящему Закону)</w:t>
      </w:r>
      <w:r>
        <w:rPr>
          <w:rFonts w:ascii="Times New Roman" w:eastAsia="Calibri" w:hAnsi="Times New Roman" w:cs="Times New Roman"/>
          <w:spacing w:val="-2"/>
          <w:sz w:val="28"/>
          <w:szCs w:val="28"/>
        </w:rPr>
        <w:t>, распределяемых между муниципальными районами и городскими округами автономного округа на конкурсной основе, а также субсидий за счет резервного фонда Правительства Ханты-Мансийского автономного округа – Югры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правовыми актами Правительства Ханты-Мансийского автономного округа – Югры.</w:t>
      </w:r>
    </w:p>
    <w:p w:rsidR="00CF4B94" w:rsidRDefault="00116D5C">
      <w:pPr>
        <w:pStyle w:val="af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12. Утвердить общий объем иных межбюджетных трансфертов бюджетам муниципальных районов и городских округов автономного округа:</w:t>
      </w:r>
    </w:p>
    <w:p w:rsidR="00CF4B94" w:rsidRDefault="00CF4B94">
      <w:pPr>
        <w:pStyle w:val="afd"/>
        <w:tabs>
          <w:tab w:val="left" w:pos="1701"/>
        </w:tabs>
        <w:spacing w:after="0" w:line="240" w:lineRule="auto"/>
        <w:ind w:left="709"/>
        <w:jc w:val="both"/>
        <w:rPr>
          <w:rFonts w:ascii="Times New Roman" w:eastAsia="Calibri" w:hAnsi="Times New Roman" w:cs="Times New Roman"/>
          <w:spacing w:val="-4"/>
          <w:sz w:val="28"/>
          <w:szCs w:val="28"/>
        </w:rPr>
      </w:pPr>
    </w:p>
    <w:p w:rsidR="00CF4B94" w:rsidRDefault="00116D5C">
      <w:pPr>
        <w:pStyle w:val="afd"/>
        <w:tabs>
          <w:tab w:val="left" w:pos="1701"/>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на 2025 год в сумме 2 767 056,1 тыс. рублей;</w:t>
      </w:r>
    </w:p>
    <w:p w:rsidR="00CF4B94" w:rsidRDefault="00116D5C">
      <w:pPr>
        <w:pStyle w:val="afd"/>
        <w:tabs>
          <w:tab w:val="left" w:pos="1701"/>
        </w:tabs>
        <w:spacing w:after="0" w:line="240" w:lineRule="auto"/>
        <w:ind w:left="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на 2026 год в сумме 2 762 017,9 тыс. рублей;</w:t>
      </w:r>
    </w:p>
    <w:p w:rsidR="00CF4B94" w:rsidRDefault="00116D5C">
      <w:pPr>
        <w:pStyle w:val="afd"/>
        <w:tabs>
          <w:tab w:val="left" w:pos="1701"/>
        </w:tabs>
        <w:spacing w:after="0" w:line="240" w:lineRule="auto"/>
        <w:ind w:left="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на 2027 год в сумме 2 752 548,3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Утвердить распределение иных межбюджетных трансфертов бюджетам муниципальных районов и городских округов Ханты-Мансийского автономного округа – Югры на 2025 год согласно приложению 28 и на плановый период 2026 и 2027 годов согласно приложению 29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color w:val="000000" w:themeColor="text1"/>
          <w:spacing w:val="-2"/>
          <w:sz w:val="28"/>
          <w:szCs w:val="28"/>
        </w:rPr>
        <w:t>Установить, что распределение иных межбюджетных трансфертов бюджетам муниципальных районов и городских округов автономного округа (за исключением межбюджетных трансфертов, распределение которых утверждено приложениями 28 и 29 к настоящему Закону) утверждается нормативными правовыми актами Правительства Ханты-Мансийского автономного округа – Югры.</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13. Установить, что не использованные на 1 января 2025 года остатки межбюджетных трансфертов, полученных бюджетами муниципальных районов и городских округов автономного округа из бюджета автономного округа в форме субсидий, субвенций и иных межбюджетных трансфертов, имеющих целевое назначение, подлежат возврату в бюджет автономного округа </w:t>
      </w:r>
      <w:r>
        <w:rPr>
          <w:rFonts w:ascii="Times New Roman" w:eastAsia="Calibri" w:hAnsi="Times New Roman" w:cs="Times New Roman"/>
          <w:spacing w:val="-4"/>
          <w:sz w:val="28"/>
          <w:szCs w:val="28"/>
        </w:rPr>
        <w:br/>
        <w:t xml:space="preserve">в 2025 году: </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в течение первых 5 рабочих дней – средства федерального бюджета;</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в течение первых 15 рабочих дней – средства бюджета автономного округа.</w:t>
      </w:r>
    </w:p>
    <w:p w:rsidR="00CF4B94" w:rsidRDefault="00CF4B94">
      <w:pPr>
        <w:pStyle w:val="ConsPlusNormal"/>
        <w:ind w:firstLine="709"/>
        <w:jc w:val="both"/>
        <w:rPr>
          <w:rFonts w:ascii="Times New Roman" w:eastAsia="Calibri" w:hAnsi="Times New Roman" w:cs="Times New Roman"/>
          <w:spacing w:val="-4"/>
          <w:sz w:val="28"/>
          <w:szCs w:val="28"/>
        </w:rPr>
      </w:pPr>
    </w:p>
    <w:p w:rsidR="00CF4B94" w:rsidRDefault="00116D5C">
      <w:pPr>
        <w:tabs>
          <w:tab w:val="left" w:pos="1701"/>
        </w:tabs>
        <w:spacing w:after="0" w:line="240" w:lineRule="auto"/>
        <w:ind w:firstLine="709"/>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Статья 6.</w:t>
      </w:r>
      <w:r>
        <w:rPr>
          <w:rFonts w:ascii="Times New Roman" w:eastAsia="Calibri" w:hAnsi="Times New Roman" w:cs="Times New Roman"/>
          <w:b/>
          <w:spacing w:val="-2"/>
          <w:sz w:val="28"/>
          <w:szCs w:val="28"/>
        </w:rPr>
        <w:t xml:space="preserve"> Предоставление бюджетных кредитов</w:t>
      </w:r>
    </w:p>
    <w:p w:rsidR="00CF4B94" w:rsidRDefault="00CF4B94">
      <w:pPr>
        <w:pStyle w:val="ConsPlusNormal"/>
        <w:ind w:firstLine="709"/>
        <w:jc w:val="both"/>
        <w:rPr>
          <w:rFonts w:ascii="Times New Roman" w:eastAsia="Calibri" w:hAnsi="Times New Roman" w:cs="Times New Roman"/>
          <w:spacing w:val="-4"/>
          <w:sz w:val="28"/>
          <w:szCs w:val="28"/>
        </w:rPr>
      </w:pPr>
    </w:p>
    <w:p w:rsidR="00CF4B94" w:rsidRDefault="00116D5C">
      <w:pPr>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 Установить, что бюджетные кредиты муниципальным районам и городским округам автономного округа предоставляются из бюджета автономного округа в пределах общего объема ассигнований, предусмотренных по источникам финансирования дефицита бюджета автономного округа на эти цели:</w:t>
      </w:r>
    </w:p>
    <w:p w:rsidR="00CF4B94" w:rsidRDefault="00116D5C">
      <w:pPr>
        <w:spacing w:after="0"/>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в 2025 году в сумме до 4 000 000,0 тыс. рублей, в том числе на срок, выходящий за пределы финансового года, в сумме 3 700 000,0 тыс. рублей;</w:t>
      </w:r>
    </w:p>
    <w:p w:rsidR="00CF4B94" w:rsidRDefault="00116D5C">
      <w:pPr>
        <w:spacing w:after="0"/>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в 2026 году в сумме до 4 000 000,0 тыс. рублей, в том числе на срок, выходящий за пределы финансового года, в сумме 3 700 000,0 тыс. рублей;</w:t>
      </w:r>
    </w:p>
    <w:p w:rsidR="00CF4B94" w:rsidRDefault="00116D5C">
      <w:pPr>
        <w:spacing w:after="0"/>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 в 2027 году в сумме до 4 000 000,0 тыс. рублей, в том числе на срок, выходящий за пределы финансового года, в сумме 3 700 000,0 тыс. рублей.</w:t>
      </w:r>
    </w:p>
    <w:p w:rsidR="00CF4B94" w:rsidRDefault="00116D5C">
      <w:pPr>
        <w:spacing w:after="0" w:line="240" w:lineRule="auto"/>
        <w:ind w:firstLine="708"/>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 Установить, что бюджетные кредиты муниципальным</w:t>
      </w:r>
      <w:r>
        <w:rPr>
          <w:rFonts w:ascii="Times New Roman" w:eastAsia="Calibri" w:hAnsi="Times New Roman" w:cs="Times New Roman"/>
          <w:spacing w:val="-2"/>
          <w:sz w:val="28"/>
          <w:szCs w:val="28"/>
        </w:rPr>
        <w:t xml:space="preserve"> районам и городским округам автономного округа предоставляются из бюджета автономного округа для следующих целей:</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северный завоз продукции (товаров) в связи с ограниченными сроками доставки в районы автономного округа;</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финансирование дефицитов бюджетов муниципальных районов и городских округов автономного округа, в том числе на реализацию </w:t>
      </w:r>
      <w:r>
        <w:rPr>
          <w:rFonts w:ascii="Times New Roman" w:hAnsi="Times New Roman" w:cs="Times New Roman"/>
          <w:sz w:val="28"/>
          <w:szCs w:val="28"/>
        </w:rPr>
        <w:t>инфраструктурных проектов,</w:t>
      </w:r>
      <w:r>
        <w:rPr>
          <w:rFonts w:ascii="Times New Roman" w:eastAsia="Calibri" w:hAnsi="Times New Roman" w:cs="Times New Roman"/>
          <w:spacing w:val="-4"/>
          <w:sz w:val="28"/>
          <w:szCs w:val="28"/>
        </w:rPr>
        <w:t xml:space="preserve"> проектов по реконструкции, модернизации, </w:t>
      </w:r>
      <w:r>
        <w:rPr>
          <w:rFonts w:ascii="Times New Roman" w:eastAsia="Calibri" w:hAnsi="Times New Roman" w:cs="Times New Roman"/>
          <w:spacing w:val="-4"/>
          <w:sz w:val="28"/>
          <w:szCs w:val="28"/>
        </w:rPr>
        <w:lastRenderedPageBreak/>
        <w:t>капитальному ремонту</w:t>
      </w:r>
      <w:r>
        <w:rPr>
          <w:rFonts w:ascii="Times New Roman" w:hAnsi="Times New Roman" w:cs="Times New Roman"/>
          <w:sz w:val="28"/>
          <w:szCs w:val="28"/>
        </w:rPr>
        <w:t xml:space="preserve"> объектов жилищно-коммунального комплекса</w:t>
      </w:r>
      <w:r>
        <w:rPr>
          <w:rFonts w:ascii="Times New Roman" w:eastAsia="Calibri" w:hAnsi="Times New Roman" w:cs="Times New Roman"/>
          <w:spacing w:val="-4"/>
          <w:sz w:val="28"/>
          <w:szCs w:val="28"/>
        </w:rPr>
        <w:t xml:space="preserve"> и капитальному ремонту автомобильных дорог общего пользования местного значения;</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 погашение долговых обязательств муниципальных районов и городских округов автономного округа.</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Бюджетные кредиты предоставляются на условиях возмездности </w:t>
      </w:r>
      <w:r>
        <w:rPr>
          <w:rFonts w:ascii="Times New Roman" w:eastAsia="Calibri" w:hAnsi="Times New Roman" w:cs="Times New Roman"/>
          <w:spacing w:val="-4"/>
          <w:sz w:val="28"/>
          <w:szCs w:val="28"/>
        </w:rPr>
        <w:br/>
        <w:t>и возвратности.</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предоставляются на следующих условиях уплаты процентов:</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 по бюджетным кредитам, предоставленным для северного завоза продукции (товаров) в связи с ограниченными сроками доставки в районы автономного округа и финансирования дефицита бюджетов муниципальных районов и городских округов автономного округа, – в размере 0,1 процента годовых;</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по бюджетным кредитам, предоставленным для погашения долговых обязательств и финансирования дефицита бюджетов муниципальных районов и городских округов автономного округа для финансового обеспечения реализации инфраструктурных проектов, проектов по реконструкции, модернизации, капитальному ремонту объектов жилищно-коммунального комплекса и капитальному ремонту автомобильных дорог общего пользования местного значения, – в размере 3 процента годовых.</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Муниципальные районы и городские округа автономного округа не предоставляют обеспечение исполнения обязательств по возврату бюджетных кредитов, уплате процентов и иных платежей, предусмотренных договором о предоставлении бюджетного кредита.</w:t>
      </w:r>
    </w:p>
    <w:p w:rsidR="00CF4B94" w:rsidRDefault="00116D5C">
      <w:pPr>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Бюджетные кредиты могут быть предоставлены муниципальным районам и городским округам автономного округа, не имеющим просроченной (неурегулированной) задолженности по денежным обязательствам перед бюджетом автономного округа.</w:t>
      </w:r>
    </w:p>
    <w:p w:rsidR="00CF4B94" w:rsidRDefault="00116D5C">
      <w:pPr>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4. Установить сроки предоставления муниципальным районам и городским округам автономного округа бюджетных кредитов из бюджета автономного округа:</w:t>
      </w:r>
    </w:p>
    <w:p w:rsidR="00CF4B94" w:rsidRDefault="00116D5C">
      <w:pPr>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1) для северного завоза продукции (товаров) в связи с ограниченными сроками доставки в районы автономного округа – до одного года (включительно);</w:t>
      </w:r>
    </w:p>
    <w:p w:rsidR="00CF4B94" w:rsidRDefault="00116D5C">
      <w:pPr>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2) для финансирования дефицита бюджетов и погашения долговых обязательств муниципальных районов и городских округов автономного округа – до трех лет;</w:t>
      </w:r>
    </w:p>
    <w:p w:rsidR="00CF4B94" w:rsidRDefault="00116D5C">
      <w:pPr>
        <w:spacing w:after="0" w:line="240" w:lineRule="auto"/>
        <w:ind w:firstLine="708"/>
        <w:jc w:val="both"/>
        <w:rPr>
          <w:rFonts w:ascii="Times New Roman" w:hAnsi="Times New Roman"/>
          <w:spacing w:val="-4"/>
          <w:sz w:val="28"/>
          <w:szCs w:val="28"/>
        </w:rPr>
      </w:pPr>
      <w:r>
        <w:rPr>
          <w:rFonts w:ascii="Times New Roman" w:hAnsi="Times New Roman"/>
          <w:spacing w:val="-4"/>
          <w:sz w:val="28"/>
          <w:szCs w:val="28"/>
        </w:rPr>
        <w:t>3) для финансирования дефицита бюджетов муниципальных районов и городских округов на реализацию инфраструктурных проектов, проектов по реконструкции, модернизации, капитальному ремонту объектов жилищно-коммунального комплекса и капитальному ремонту автомобильных дорог общего пользования местного значения – до пяти лет.</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5. Установить, что в 2025 году бюджетные кредиты муниципальным районам и городским округам автономного округа для погашения долговых </w:t>
      </w:r>
      <w:r>
        <w:rPr>
          <w:rFonts w:ascii="Times New Roman" w:eastAsia="Calibri" w:hAnsi="Times New Roman" w:cs="Times New Roman"/>
          <w:spacing w:val="-4"/>
          <w:sz w:val="28"/>
          <w:szCs w:val="28"/>
        </w:rPr>
        <w:lastRenderedPageBreak/>
        <w:t>обязательств муниципальных районов и городских округов автономного округа предоставляются для погашения долговых обязательств, возникших до 1 января 2025 года.</w:t>
      </w:r>
    </w:p>
    <w:p w:rsidR="00CF4B94" w:rsidRDefault="00116D5C">
      <w:pPr>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6. Предоставление, использование и возврат муниципальными районами и городскими округами автономного округа бюджетных кредитов, полученных из бюджета автономного округа, осуществляются в порядке, установленном Правительством автономного округа.</w:t>
      </w: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Правительство автономного округа вправе принимать решения о проведении реструктуризации обязательств (задолженности) по бюджетным кредитам автономного округа, предоставленным для финансирования дефицита бюджетов муниципальных районов и городских округов автономного округа до 1 января 2025 года, путем пролонгации срока возврата таких средств на срок не более двух лет, в том числе предоставления отсрочки (при условии отсутствия фактов нецелевого использования бюджетного кредита) в соответствии с правилами реструктуризации, установленными Правительством автономного округа.</w:t>
      </w:r>
    </w:p>
    <w:p w:rsidR="00CF4B94" w:rsidRDefault="00CF4B94">
      <w:pPr>
        <w:tabs>
          <w:tab w:val="left" w:pos="1701"/>
        </w:tabs>
        <w:spacing w:after="0" w:line="240" w:lineRule="auto"/>
        <w:ind w:firstLine="709"/>
        <w:jc w:val="both"/>
        <w:rPr>
          <w:rFonts w:ascii="Times New Roman" w:eastAsia="Calibri" w:hAnsi="Times New Roman" w:cs="Times New Roman"/>
          <w:spacing w:val="-4"/>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405"/>
      </w:tblGrid>
      <w:tr w:rsidR="00CF4B94">
        <w:tc>
          <w:tcPr>
            <w:tcW w:w="1949" w:type="dxa"/>
          </w:tcPr>
          <w:p w:rsidR="00CF4B94" w:rsidRDefault="00116D5C">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Статья 7.</w:t>
            </w:r>
          </w:p>
        </w:tc>
        <w:tc>
          <w:tcPr>
            <w:tcW w:w="7405" w:type="dxa"/>
          </w:tcPr>
          <w:p w:rsidR="00CF4B94" w:rsidRDefault="00116D5C">
            <w:pPr>
              <w:tabs>
                <w:tab w:val="left" w:pos="1701"/>
              </w:tabs>
              <w:ind w:left="-113"/>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Государственные внутренние заимствования</w:t>
            </w:r>
            <w:r>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br/>
            </w:r>
            <w:r>
              <w:rPr>
                <w:rFonts w:ascii="Times New Roman" w:eastAsia="Calibri" w:hAnsi="Times New Roman" w:cs="Times New Roman"/>
                <w:b/>
                <w:spacing w:val="-2"/>
                <w:sz w:val="28"/>
                <w:szCs w:val="28"/>
              </w:rPr>
              <w:t>автономного округа</w:t>
            </w:r>
          </w:p>
          <w:p w:rsidR="00CF4B94" w:rsidRDefault="00CF4B94">
            <w:pPr>
              <w:tabs>
                <w:tab w:val="left" w:pos="1701"/>
              </w:tabs>
              <w:rPr>
                <w:rFonts w:ascii="Times New Roman" w:eastAsia="Calibri" w:hAnsi="Times New Roman" w:cs="Times New Roman"/>
                <w:b/>
                <w:spacing w:val="-2"/>
                <w:sz w:val="28"/>
                <w:szCs w:val="28"/>
              </w:rPr>
            </w:pPr>
          </w:p>
        </w:tc>
      </w:tr>
    </w:tbl>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Утвердить </w:t>
      </w:r>
      <w:hyperlink r:id="rId9" w:tooltip="consultantplus://offline/ref=9828C5D79E2A23CE95A8C72A3B12E6B81EFA4119929A9AEB8F4063A83AEB1CFE9B6F6AF4C02DA11C8DEF20A867K" w:history="1">
        <w:r>
          <w:rPr>
            <w:rFonts w:ascii="Times New Roman" w:eastAsia="Calibri" w:hAnsi="Times New Roman" w:cs="Times New Roman"/>
            <w:spacing w:val="-2"/>
            <w:sz w:val="28"/>
            <w:szCs w:val="28"/>
          </w:rPr>
          <w:t>программу</w:t>
        </w:r>
      </w:hyperlink>
      <w:r>
        <w:rPr>
          <w:rFonts w:ascii="Times New Roman" w:eastAsia="Calibri" w:hAnsi="Times New Roman" w:cs="Times New Roman"/>
          <w:spacing w:val="-2"/>
          <w:sz w:val="28"/>
          <w:szCs w:val="28"/>
        </w:rPr>
        <w:t xml:space="preserve"> государственных внутренних заимствований Ханты-Мансийского автономного округа – Югры на 2025 год и на плановый период 2026 и 2027 годов согласно приложению 3</w:t>
      </w:r>
      <w:r w:rsidRPr="009837F4">
        <w:rPr>
          <w:rFonts w:ascii="Times New Roman" w:eastAsia="Calibri" w:hAnsi="Times New Roman" w:cs="Times New Roman"/>
          <w:spacing w:val="-2"/>
          <w:sz w:val="28"/>
          <w:szCs w:val="28"/>
        </w:rPr>
        <w:t>0</w:t>
      </w:r>
      <w:r>
        <w:rPr>
          <w:rFonts w:ascii="Times New Roman" w:eastAsia="Calibri" w:hAnsi="Times New Roman" w:cs="Times New Roman"/>
          <w:spacing w:val="-2"/>
          <w:sz w:val="28"/>
          <w:szCs w:val="28"/>
        </w:rPr>
        <w:t xml:space="preserve"> к настоящему Закону.</w:t>
      </w:r>
    </w:p>
    <w:p w:rsidR="00CF4B94" w:rsidRDefault="00CF4B94">
      <w:pPr>
        <w:tabs>
          <w:tab w:val="left" w:pos="1701"/>
        </w:tabs>
        <w:spacing w:after="0" w:line="240" w:lineRule="auto"/>
        <w:ind w:firstLine="709"/>
        <w:jc w:val="both"/>
        <w:rPr>
          <w:rFonts w:ascii="Times New Roman" w:eastAsia="Calibri" w:hAnsi="Times New Roman" w:cs="Times New Roman"/>
          <w:spacing w:val="-2"/>
          <w:sz w:val="28"/>
          <w:szCs w:val="28"/>
        </w:rPr>
      </w:pPr>
    </w:p>
    <w:p w:rsidR="00CF4B94" w:rsidRDefault="00116D5C">
      <w:pPr>
        <w:tabs>
          <w:tab w:val="left" w:pos="1701"/>
        </w:tabs>
        <w:spacing w:after="0" w:line="240" w:lineRule="auto"/>
        <w:ind w:left="-57" w:firstLine="766"/>
        <w:rPr>
          <w:rFonts w:ascii="Times New Roman" w:eastAsia="Calibri" w:hAnsi="Times New Roman" w:cs="Times New Roman"/>
          <w:b/>
          <w:spacing w:val="-2"/>
          <w:sz w:val="28"/>
          <w:szCs w:val="28"/>
        </w:rPr>
      </w:pPr>
      <w:r>
        <w:rPr>
          <w:rFonts w:ascii="Times New Roman" w:eastAsia="Calibri" w:hAnsi="Times New Roman" w:cs="Times New Roman"/>
          <w:spacing w:val="-2"/>
          <w:sz w:val="28"/>
          <w:szCs w:val="28"/>
        </w:rPr>
        <w:t>Статья 8.</w:t>
      </w:r>
      <w:r>
        <w:rPr>
          <w:rFonts w:ascii="Times New Roman" w:eastAsia="Calibri" w:hAnsi="Times New Roman" w:cs="Times New Roman"/>
          <w:b/>
          <w:spacing w:val="-2"/>
          <w:sz w:val="28"/>
          <w:szCs w:val="28"/>
        </w:rPr>
        <w:t xml:space="preserve"> Отдельные операции по источникам финансирования </w:t>
      </w:r>
      <w:r>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br/>
        <w:t xml:space="preserve">                            </w:t>
      </w:r>
      <w:r>
        <w:rPr>
          <w:rFonts w:ascii="Times New Roman" w:eastAsia="Calibri" w:hAnsi="Times New Roman" w:cs="Times New Roman"/>
          <w:b/>
          <w:spacing w:val="-2"/>
          <w:sz w:val="28"/>
          <w:szCs w:val="28"/>
        </w:rPr>
        <w:t xml:space="preserve">дефицита бюджета автономного округа </w:t>
      </w:r>
    </w:p>
    <w:p w:rsidR="00CF4B94" w:rsidRDefault="00CF4B94">
      <w:pPr>
        <w:tabs>
          <w:tab w:val="left" w:pos="1701"/>
        </w:tabs>
        <w:spacing w:after="0" w:line="240" w:lineRule="auto"/>
        <w:ind w:left="-57" w:firstLine="766"/>
        <w:rPr>
          <w:rFonts w:ascii="Times New Roman" w:eastAsia="Calibri" w:hAnsi="Times New Roman" w:cs="Times New Roman"/>
          <w:b/>
          <w:spacing w:val="-2"/>
          <w:sz w:val="28"/>
          <w:szCs w:val="28"/>
        </w:rPr>
      </w:pPr>
    </w:p>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z w:val="28"/>
          <w:szCs w:val="28"/>
        </w:rPr>
        <w:t>1. Утвердить источники внутреннего финансирования дефицита бюджета Ханты-Мансийского автономного округа – Югры на 2025 год согласно приложению 14 и на плановый период 2026 и 2027 годов согласно приложению 15</w:t>
      </w:r>
      <w:r>
        <w:rPr>
          <w:rFonts w:ascii="Times New Roman" w:eastAsia="Calibri" w:hAnsi="Times New Roman" w:cs="Times New Roman"/>
          <w:spacing w:val="-4"/>
          <w:sz w:val="28"/>
          <w:szCs w:val="28"/>
        </w:rPr>
        <w:t xml:space="preserve"> к настоящему Закону.</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2. Предусмотреть в составе источников внутреннего финансирования дефицита бюджета автономного округа средства резервного фонда автономного округа:</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 на 2025 год в сумме 7 000 000,0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2) на 2026 год в сумме 7 000 000,0 тыс. рублей;</w:t>
      </w:r>
    </w:p>
    <w:p w:rsidR="00CF4B94" w:rsidRDefault="00116D5C">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3) на 2027 год в сумме 7 000 000,0 тыс. рублей.</w:t>
      </w:r>
    </w:p>
    <w:p w:rsidR="00CF4B94" w:rsidRDefault="00CF4B94">
      <w:pPr>
        <w:tabs>
          <w:tab w:val="left" w:pos="1701"/>
        </w:tabs>
        <w:spacing w:after="0" w:line="240" w:lineRule="auto"/>
        <w:jc w:val="both"/>
        <w:rPr>
          <w:rFonts w:ascii="Times New Roman" w:eastAsia="Calibri" w:hAnsi="Times New Roman" w:cs="Times New Roman"/>
          <w:spacing w:val="-2"/>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3"/>
        <w:gridCol w:w="7401"/>
      </w:tblGrid>
      <w:tr w:rsidR="00CF4B94">
        <w:tc>
          <w:tcPr>
            <w:tcW w:w="1984" w:type="dxa"/>
          </w:tcPr>
          <w:p w:rsidR="00CF4B94" w:rsidRDefault="00116D5C">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Статья 9.</w:t>
            </w:r>
          </w:p>
        </w:tc>
        <w:tc>
          <w:tcPr>
            <w:tcW w:w="7586" w:type="dxa"/>
          </w:tcPr>
          <w:p w:rsidR="00CF4B94" w:rsidRDefault="00116D5C">
            <w:pPr>
              <w:tabs>
                <w:tab w:val="left" w:pos="1701"/>
              </w:tabs>
              <w:ind w:left="-113"/>
              <w:jc w:val="both"/>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 xml:space="preserve">Особенности исполнения бюджета автономного округа </w:t>
            </w:r>
          </w:p>
          <w:p w:rsidR="00CF4B94" w:rsidRDefault="00CF4B94">
            <w:pPr>
              <w:tabs>
                <w:tab w:val="left" w:pos="1701"/>
              </w:tabs>
              <w:ind w:left="-113"/>
              <w:jc w:val="both"/>
              <w:rPr>
                <w:rFonts w:ascii="Times New Roman" w:eastAsia="Calibri" w:hAnsi="Times New Roman" w:cs="Times New Roman"/>
                <w:spacing w:val="-2"/>
                <w:sz w:val="28"/>
                <w:szCs w:val="28"/>
              </w:rPr>
            </w:pPr>
          </w:p>
        </w:tc>
      </w:tr>
    </w:tbl>
    <w:p w:rsidR="00CF4B94" w:rsidRDefault="00116D5C">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Департамент финансов Ханты-Мансийского автономного округа – Югры (далее также – Департамент финансов автономного округа) </w:t>
      </w:r>
      <w:r>
        <w:rPr>
          <w:rFonts w:ascii="Times New Roman" w:eastAsia="Calibri" w:hAnsi="Times New Roman" w:cs="Times New Roman"/>
          <w:spacing w:val="-4"/>
          <w:sz w:val="28"/>
          <w:szCs w:val="28"/>
        </w:rPr>
        <w:br/>
        <w:t xml:space="preserve">в соответствии с пунктом 8 статьи 217 Бюджетного кодекса Российской Федерации, пунктом 2.1 статьи 3 Закона Ханты-Мансийского автономного округа – Югры "Об отдельных вопросах организации и осуществления бюджетного процесса в Ханты-Мансийском автономном округе – Югре" вправе </w:t>
      </w:r>
      <w:r>
        <w:rPr>
          <w:rFonts w:ascii="Times New Roman" w:eastAsia="Calibri" w:hAnsi="Times New Roman" w:cs="Times New Roman"/>
          <w:spacing w:val="-4"/>
          <w:sz w:val="28"/>
          <w:szCs w:val="28"/>
        </w:rPr>
        <w:lastRenderedPageBreak/>
        <w:t>вносить изменения в показатели сводной бюджетной росписи бюджета автономного округа без внесения изменений в настоящий Закон по следующим дополнительным основаниям:</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перераспределение бюджетных ассигнований, предусмотренных главным распорядителям средств бюджета автономного округа на предоставление государственным бюджетным и автономным учреждениям автономного округа субсидий на финансовое обеспечение выполнения государственного задания на оказание государственных услуг (выполнение работ) и субсидий на цели, не связанные с финансовым обеспечением выполнения государственного задания, на обеспечение выполнения функций казенных учреждений, в том числе по оказанию государственных услуг (выполнению работ), между учреждениями автономного округа и (или) кодами классификации расходов бюджетов; </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 увеличение бюджетных ассигнований по соответствующим кодам бюджетной классификации Российской Федерации за счет средств, образовавшихся в связи с экономией в текущем финансовом году бюджетных ассигнований на оказание государственных услуг (выполнение работ), в пределах общего объема бюджетных ассигнований, предусмотренных главному распорядителю средств бюджета автономного округа в текущем финансовом году</w:t>
      </w:r>
      <w:r>
        <w:rPr>
          <w:rFonts w:ascii="Times New Roman" w:eastAsia="Calibri" w:hAnsi="Times New Roman" w:cs="Times New Roman"/>
          <w:color w:val="FF0000"/>
          <w:spacing w:val="-4"/>
          <w:sz w:val="28"/>
          <w:szCs w:val="28"/>
        </w:rPr>
        <w:t xml:space="preserve"> </w:t>
      </w:r>
      <w:r>
        <w:rPr>
          <w:rFonts w:ascii="Times New Roman" w:eastAsia="Calibri" w:hAnsi="Times New Roman" w:cs="Times New Roman"/>
          <w:spacing w:val="-4"/>
          <w:sz w:val="28"/>
          <w:szCs w:val="28"/>
        </w:rPr>
        <w:t>на указанные цели;</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перераспределение бюджетных ассигнований между структурными элементами (мероприятиями) государственных программ автономного округа, </w:t>
      </w:r>
      <w:r>
        <w:rPr>
          <w:rFonts w:ascii="Times New Roman" w:eastAsia="Calibri" w:hAnsi="Times New Roman" w:cs="Times New Roman"/>
          <w:spacing w:val="-4"/>
          <w:sz w:val="28"/>
          <w:szCs w:val="28"/>
        </w:rPr>
        <w:br/>
        <w:t>а также между их соисполнителями, участниками;</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4) перераспределение бюджетных ассигнований на социальное обеспечение населения между видами обязательств в пределах общего объема бюджетных ассигнований на социальное обеспечение населения;</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5) </w:t>
      </w:r>
      <w:r>
        <w:rPr>
          <w:rFonts w:ascii="Times New Roman" w:eastAsia="Times New Roman" w:hAnsi="Times New Roman"/>
          <w:spacing w:val="-4"/>
          <w:sz w:val="28"/>
          <w:szCs w:val="20"/>
          <w:lang w:eastAsia="ru-RU"/>
        </w:rPr>
        <w:t>увеличение за счет средств федерального бюджета объема субсидий, субвенций и иных межбюджетных трансфертов на основании правового акта Российской Федерации, доведения предельного объема оплаты денежных обязательств за счет межбюджетных трансфертов, предоставляемых в форме субсидий, субвенций и иных межбюджетных трансфертов, поступления иных межбюджетных трансфертов, имеющих целевое назначение, сверх объемов, утвержденных законом о бюджете</w:t>
      </w:r>
      <w:r>
        <w:rPr>
          <w:rFonts w:ascii="Times New Roman" w:eastAsia="Calibri" w:hAnsi="Times New Roman" w:cs="Times New Roman"/>
          <w:spacing w:val="-4"/>
          <w:sz w:val="28"/>
          <w:szCs w:val="28"/>
        </w:rPr>
        <w:t>;</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6)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бюджета;</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7) изменение бюджетной классификации расходов бюджета автономного округа без изменения целевого направления средств;</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8) увеличение в соответствии с распоряжениями Правительства автономного округа бюджетных ассигнований на сумму не использованных по состоянию на 1 января текущего финансового года остатков средств дорожного фонда Ханты-Мансийского автономного округа – Югры для последующего использования на те же цели;</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9) перераспределение бюджетных ассигнований между региональными проектами, обеспечивающими достижение целей, показателей и результатов федеральных проектов;</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 xml:space="preserve">10) увеличение (уменьшение) бюджетных ассигнований, предусмотренных на финансовое обеспечение реализации региональных проектов, обеспечивающих достижение целей, показателей и результатов федеральных проектов, за счет перераспределения бюджетных ассигнований, </w:t>
      </w:r>
      <w:r>
        <w:rPr>
          <w:rFonts w:ascii="Times New Roman" w:eastAsia="Calibri" w:hAnsi="Times New Roman" w:cs="Times New Roman"/>
          <w:spacing w:val="-4"/>
          <w:sz w:val="28"/>
          <w:szCs w:val="28"/>
        </w:rPr>
        <w:br/>
        <w:t>не отнесенных настоящим Законом на указанные цели;</w:t>
      </w:r>
    </w:p>
    <w:p w:rsidR="00CF4B94" w:rsidRDefault="00116D5C">
      <w:pPr>
        <w:spacing w:after="0" w:line="240" w:lineRule="auto"/>
        <w:ind w:firstLine="709"/>
        <w:jc w:val="both"/>
        <w:rPr>
          <w:rFonts w:ascii="Times New Roman" w:hAnsi="Times New Roman" w:cs="Times New Roman"/>
          <w:iCs/>
          <w:sz w:val="28"/>
          <w:szCs w:val="28"/>
        </w:rPr>
      </w:pPr>
      <w:r>
        <w:rPr>
          <w:rFonts w:ascii="Times New Roman" w:eastAsia="Calibri" w:hAnsi="Times New Roman" w:cs="Times New Roman"/>
          <w:spacing w:val="-4"/>
          <w:sz w:val="28"/>
          <w:szCs w:val="28"/>
        </w:rPr>
        <w:t xml:space="preserve">11) увеличение бюджетных ассигнований резервного фонда Правительства автономного округа в размере </w:t>
      </w:r>
      <w:r>
        <w:rPr>
          <w:rFonts w:ascii="Times New Roman" w:hAnsi="Times New Roman" w:cs="Times New Roman"/>
          <w:iCs/>
          <w:sz w:val="28"/>
          <w:szCs w:val="28"/>
        </w:rPr>
        <w:t xml:space="preserve">субсидий и иных межбюджетных трансфертов, имеющих целевое назначение, в отношении которых на </w:t>
      </w:r>
      <w:r>
        <w:rPr>
          <w:rFonts w:ascii="Times New Roman" w:hAnsi="Times New Roman" w:cs="Times New Roman"/>
          <w:iCs/>
          <w:sz w:val="28"/>
          <w:szCs w:val="28"/>
        </w:rPr>
        <w:br/>
        <w:t>15 февраля текущего финансового года (не позднее 30 дней после дня вступления в силу закона автономного округа о внесении изменений в закон автономного округа о бюджете на текущий финансовый год и плановый период) не заключены соглашения об их предоставлении бюджетам муниципальных образований автономного округа;</w:t>
      </w:r>
    </w:p>
    <w:p w:rsidR="00CF4B94" w:rsidRDefault="00116D5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12) перераспределение бюджетных ассигнований на мероприятия, связанные с образованием, реорганизацией, ликвидацией (упразднением) исполнительных органов автономного округа, в том числе с их переименованием в составе ведомственной структуры расходов бюджета автономного округа;</w:t>
      </w:r>
    </w:p>
    <w:p w:rsidR="00CF4B94" w:rsidRDefault="00116D5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13) перераспределение в соответствии с постановлениями Правительства автономного округа бюджетных ассигнований, источником финансового обеспечения которых являются средства бюджета автономного округа, бюджетные кредиты, предоставляемые из федерального бюджета бюджету Ханты-Мансийского автономного округа – Югры на реализацию инфраструктурных проектов, бюджетные кредиты за счет временно свободных средств единого счета федерального бюджета, между государственными программами автономного округа и (или) их структурными элементами, на предоставление субсидий бюджетам муниципальных районов и городских округов автономного округа между муниципальными образованиями;</w:t>
      </w:r>
    </w:p>
    <w:p w:rsidR="00CF4B94" w:rsidRDefault="00116D5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14) </w:t>
      </w:r>
      <w:bookmarkStart w:id="0" w:name="p0"/>
      <w:bookmarkEnd w:id="0"/>
      <w:r>
        <w:rPr>
          <w:rFonts w:ascii="Times New Roman" w:hAnsi="Times New Roman" w:cs="Times New Roman"/>
          <w:iCs/>
          <w:sz w:val="28"/>
          <w:szCs w:val="28"/>
        </w:rPr>
        <w:t xml:space="preserve">увеличение бюджетных ассигнований текущего финансового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w:t>
      </w:r>
      <w:r>
        <w:rPr>
          <w:rFonts w:ascii="Times New Roman" w:hAnsi="Times New Roman" w:cs="Times New Roman"/>
          <w:iCs/>
          <w:sz w:val="28"/>
          <w:szCs w:val="28"/>
        </w:rPr>
        <w:br/>
        <w:t>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w:t>
      </w:r>
    </w:p>
    <w:p w:rsidR="00CF4B94" w:rsidRDefault="00116D5C">
      <w:pPr>
        <w:spacing w:after="0" w:line="240" w:lineRule="auto"/>
        <w:ind w:firstLine="709"/>
        <w:jc w:val="both"/>
        <w:rPr>
          <w:rFonts w:ascii="Times New Roman" w:hAnsi="Times New Roman" w:cs="Times New Roman"/>
          <w:iCs/>
          <w:sz w:val="28"/>
          <w:szCs w:val="28"/>
        </w:rPr>
      </w:pPr>
      <w:bookmarkStart w:id="1" w:name="p2"/>
      <w:bookmarkEnd w:id="1"/>
      <w:r>
        <w:rPr>
          <w:rFonts w:ascii="Times New Roman" w:hAnsi="Times New Roman" w:cs="Times New Roman"/>
          <w:iCs/>
          <w:sz w:val="28"/>
          <w:szCs w:val="28"/>
        </w:rPr>
        <w:t xml:space="preserve">15) увеличение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совокупно размер неисполненных обязательств, принятых до начала текущего финансового года, подлежавших оплате в отчетном финансовом году, и объеме средств, по которым до начала текущего финансового года объявлены в установленном порядке конкурсные (закупочные) процедуры, подлежащие завершению и оплате в текущем </w:t>
      </w:r>
      <w:r>
        <w:rPr>
          <w:rFonts w:ascii="Times New Roman" w:hAnsi="Times New Roman" w:cs="Times New Roman"/>
          <w:iCs/>
          <w:sz w:val="28"/>
          <w:szCs w:val="28"/>
        </w:rPr>
        <w:lastRenderedPageBreak/>
        <w:t xml:space="preserve">финансовом году, в случае принятия решения главными распорядителями средств бюджета автономного округа о наличии потребности в соответствующих средствах на указанные цели; </w:t>
      </w:r>
    </w:p>
    <w:p w:rsidR="00CF4B94" w:rsidRDefault="00116D5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16) увеличение бюджетных ассигнований на предоставление из бюджета автономного округа межбюджетных трансфертов, имеющих целевое назначение, предоставление которых в отчетном году осуществлялось в пределах суммы, необходимой для оплаты денежных обязательств получателей средств бюджета автономного округа, источником финансового обеспечения которых являлись указанные межбюджетные трансферты, </w:t>
      </w:r>
      <w:r>
        <w:rPr>
          <w:rFonts w:ascii="Times New Roman" w:hAnsi="Times New Roman" w:cs="Times New Roman"/>
          <w:iCs/>
          <w:sz w:val="28"/>
          <w:szCs w:val="28"/>
        </w:rPr>
        <w:br/>
        <w:t>в соответствии с абзацем третьим пункта 3 статьи 95 Бюджетного кодекса Российской Федерации в случае принятия решения главными распорядителями средств бюджета автономного округа о наличии потребности в соответствующих средствах на указанные цели;</w:t>
      </w:r>
    </w:p>
    <w:p w:rsidR="00CF4B94" w:rsidRDefault="00116D5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17) увеличение бюджетных ассигнований резервного фонда Правительства автономного округа за счет соответствующего уменьшения иных бюджетных ассигнований, предусмотренных на соответствующий финансовый год. </w:t>
      </w:r>
    </w:p>
    <w:p w:rsidR="00CF4B94" w:rsidRDefault="00116D5C">
      <w:pPr>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Внесение изменений в сводную бюджетную роспись бюджета автономного округа по основаниям, установленным настоящим пунктом, осуществляется в пределах объема бюджетных ассигнований, утвержденных настоящим Законом, за исключением оснований, установленных </w:t>
      </w:r>
      <w:r>
        <w:rPr>
          <w:rFonts w:ascii="Times New Roman" w:hAnsi="Times New Roman" w:cs="Times New Roman"/>
          <w:iCs/>
          <w:sz w:val="28"/>
          <w:szCs w:val="28"/>
        </w:rPr>
        <w:br/>
        <w:t xml:space="preserve">подпунктами 5, </w:t>
      </w:r>
      <w:hyperlink r:id="rId10" w:tooltip="https://login.consultant.ru/link/?req=doc&amp;base=RLAW926&amp;n=304800&amp;dst=100201&amp;field=134&amp;date=27.08.2024" w:history="1">
        <w:r>
          <w:rPr>
            <w:rFonts w:ascii="Times New Roman" w:hAnsi="Times New Roman" w:cs="Times New Roman"/>
            <w:iCs/>
            <w:sz w:val="28"/>
            <w:szCs w:val="28"/>
          </w:rPr>
          <w:t>8</w:t>
        </w:r>
      </w:hyperlink>
      <w:r>
        <w:rPr>
          <w:rFonts w:ascii="Times New Roman" w:hAnsi="Times New Roman" w:cs="Times New Roman"/>
          <w:iCs/>
          <w:sz w:val="28"/>
          <w:szCs w:val="28"/>
        </w:rPr>
        <w:t xml:space="preserve">, 14–16 настоящего пункта, в соответствии с которыми внесение изменений в сводную бюджетную роспись бюджета автономного округа может осуществляться с превышением общего объема расходов, утвержденных Законом. </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2"/>
          <w:sz w:val="28"/>
          <w:szCs w:val="28"/>
        </w:rPr>
        <w:t xml:space="preserve">Установить, что распределение субвенций, субсидий и иных межбюджетных трансфертов между бюджетами муниципальных районов и городских округов Ханты-Мансийского автономного округа – Югры без внесения изменений в настоящий Закон по основаниям, предусмотренным </w:t>
      </w:r>
      <w:r>
        <w:rPr>
          <w:rFonts w:ascii="Times New Roman" w:eastAsia="Calibri" w:hAnsi="Times New Roman" w:cs="Times New Roman"/>
          <w:spacing w:val="-4"/>
          <w:sz w:val="28"/>
          <w:szCs w:val="28"/>
        </w:rPr>
        <w:t>пунктом 3 статьи 217 Бюджетного кодекса Российской Федерации и настоящим пунктом, утверждается нормативными правовыми актами Правительства Ханты-Мансийского автономного округа – Югры.</w:t>
      </w:r>
    </w:p>
    <w:p w:rsidR="00CF4B94" w:rsidRDefault="00116D5C">
      <w:pPr>
        <w:spacing w:after="0" w:line="240" w:lineRule="auto"/>
        <w:ind w:firstLine="709"/>
        <w:jc w:val="both"/>
        <w:rPr>
          <w:rFonts w:ascii="Times New Roman" w:eastAsia="Calibri" w:hAnsi="Times New Roman" w:cs="Times New Roman"/>
          <w:spacing w:val="-4"/>
          <w:sz w:val="28"/>
          <w:szCs w:val="28"/>
        </w:rPr>
      </w:pPr>
      <w:r>
        <w:rPr>
          <w:rFonts w:ascii="Times New Roman" w:hAnsi="Times New Roman" w:cs="Times New Roman"/>
          <w:iCs/>
          <w:sz w:val="28"/>
          <w:szCs w:val="28"/>
        </w:rPr>
        <w:t>2. В соответствии с пунктом 3 статьи 217</w:t>
      </w:r>
      <w:r>
        <w:rPr>
          <w:rFonts w:ascii="Times New Roman" w:eastAsia="Calibri" w:hAnsi="Times New Roman" w:cs="Times New Roman"/>
          <w:spacing w:val="-4"/>
          <w:sz w:val="28"/>
          <w:szCs w:val="28"/>
        </w:rPr>
        <w:t xml:space="preserve"> Бюджетного кодекса Российской Федерации установить, что основанием для внесения изменений в показатели сводной бюджетной росписи бюджета автономного округа </w:t>
      </w:r>
      <w:r>
        <w:rPr>
          <w:rFonts w:ascii="Times New Roman" w:eastAsia="Calibri" w:hAnsi="Times New Roman" w:cs="Times New Roman"/>
          <w:spacing w:val="-4"/>
          <w:sz w:val="28"/>
          <w:szCs w:val="28"/>
        </w:rPr>
        <w:br/>
        <w:t>в 2025 году является распределение зарезервированных в составе утвержденных статьей 3 настоящего Закона бюджетных ассигнований, предусмотренных:</w:t>
      </w:r>
    </w:p>
    <w:p w:rsidR="00CF4B94" w:rsidRDefault="00116D5C">
      <w:pPr>
        <w:pStyle w:val="ConsPlusNormal"/>
        <w:ind w:firstLine="709"/>
        <w:jc w:val="both"/>
        <w:rPr>
          <w:rFonts w:ascii="Times New Roman" w:hAnsi="Times New Roman" w:cs="Times New Roman"/>
          <w:sz w:val="28"/>
          <w:szCs w:val="28"/>
        </w:rPr>
      </w:pPr>
      <w:r>
        <w:rPr>
          <w:rFonts w:ascii="Times New Roman" w:eastAsia="Calibri" w:hAnsi="Times New Roman" w:cs="Times New Roman"/>
          <w:spacing w:val="-4"/>
          <w:sz w:val="28"/>
          <w:szCs w:val="28"/>
        </w:rPr>
        <w:t>1) на</w:t>
      </w:r>
      <w:r>
        <w:rPr>
          <w:rFonts w:ascii="Times New Roman" w:hAnsi="Times New Roman" w:cs="Times New Roman"/>
          <w:sz w:val="28"/>
          <w:szCs w:val="28"/>
        </w:rPr>
        <w:t xml:space="preserve"> финансирование непредвиденных расходов, в том числе расходов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в порядке, установленном Правительством автономного округа,</w:t>
      </w:r>
      <w:r>
        <w:rPr>
          <w:rFonts w:ascii="Times New Roman" w:eastAsia="Calibri" w:hAnsi="Times New Roman" w:cs="Times New Roman"/>
          <w:spacing w:val="-4"/>
          <w:sz w:val="28"/>
          <w:szCs w:val="28"/>
        </w:rPr>
        <w:t xml:space="preserve"> в сумме 6 000 000,0 тыс. рублей</w:t>
      </w:r>
      <w:r>
        <w:rPr>
          <w:rFonts w:ascii="Times New Roman" w:hAnsi="Times New Roman" w:cs="Times New Roman"/>
          <w:sz w:val="28"/>
          <w:szCs w:val="28"/>
        </w:rPr>
        <w:t>;</w:t>
      </w:r>
    </w:p>
    <w:p w:rsidR="00CF4B94" w:rsidRDefault="00116D5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Pr>
          <w:rFonts w:ascii="Times New Roman" w:eastAsia="Calibri" w:hAnsi="Times New Roman" w:cs="Times New Roman"/>
          <w:color w:val="000000" w:themeColor="text1"/>
          <w:spacing w:val="-4"/>
          <w:sz w:val="28"/>
          <w:szCs w:val="28"/>
        </w:rPr>
        <w:t>на</w:t>
      </w:r>
      <w:r>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на поддержку мер по обеспечению сбалансированности бюджетов городских округов и муниципальных районов </w:t>
      </w:r>
      <w:r>
        <w:rPr>
          <w:rFonts w:ascii="Times New Roman" w:hAnsi="Times New Roman" w:cs="Times New Roman"/>
          <w:color w:val="000000" w:themeColor="text1"/>
          <w:spacing w:val="-4"/>
          <w:sz w:val="28"/>
          <w:szCs w:val="28"/>
        </w:rPr>
        <w:lastRenderedPageBreak/>
        <w:t>автономного округа в порядке, установленном Правительством автономного округа, в сумме</w:t>
      </w:r>
      <w:r>
        <w:rPr>
          <w:rFonts w:ascii="Times New Roman" w:eastAsia="Calibri" w:hAnsi="Times New Roman" w:cs="Times New Roman"/>
          <w:color w:val="000000" w:themeColor="text1"/>
          <w:spacing w:val="-4"/>
          <w:sz w:val="28"/>
          <w:szCs w:val="28"/>
        </w:rPr>
        <w:t xml:space="preserve"> 1 800 603,6 тыс. рублей</w:t>
      </w:r>
      <w:r>
        <w:rPr>
          <w:rFonts w:ascii="Times New Roman" w:hAnsi="Times New Roman" w:cs="Times New Roman"/>
          <w:color w:val="000000" w:themeColor="text1"/>
          <w:spacing w:val="-4"/>
          <w:sz w:val="28"/>
          <w:szCs w:val="28"/>
        </w:rPr>
        <w:t>;</w:t>
      </w:r>
    </w:p>
    <w:p w:rsidR="00CF4B94" w:rsidRDefault="00116D5C">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3) на</w:t>
      </w:r>
      <w:r>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на поощрение достижения высоких показателей качества организации и осуществления бюджетного процесса в городских округах и муниципальных районах автономного округа в порядке, установленном Правительством автономного округа, в сумме</w:t>
      </w:r>
      <w:r>
        <w:rPr>
          <w:rFonts w:ascii="Times New Roman" w:eastAsia="Calibri" w:hAnsi="Times New Roman" w:cs="Times New Roman"/>
          <w:color w:val="000000" w:themeColor="text1"/>
          <w:spacing w:val="-4"/>
          <w:sz w:val="28"/>
          <w:szCs w:val="28"/>
        </w:rPr>
        <w:t xml:space="preserve"> 100 000,0 тыс. рублей</w:t>
      </w:r>
      <w:r>
        <w:rPr>
          <w:rFonts w:ascii="Times New Roman" w:hAnsi="Times New Roman" w:cs="Times New Roman"/>
          <w:color w:val="000000" w:themeColor="text1"/>
          <w:spacing w:val="-4"/>
          <w:sz w:val="28"/>
          <w:szCs w:val="28"/>
        </w:rPr>
        <w:t>;</w:t>
      </w:r>
    </w:p>
    <w:p w:rsidR="00CF4B94" w:rsidRDefault="00116D5C">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hAnsi="Times New Roman" w:cs="Times New Roman"/>
          <w:color w:val="000000" w:themeColor="text1"/>
          <w:spacing w:val="-4"/>
          <w:sz w:val="28"/>
          <w:szCs w:val="28"/>
        </w:rPr>
        <w:t xml:space="preserve">4) </w:t>
      </w:r>
      <w:r>
        <w:rPr>
          <w:rFonts w:ascii="Times New Roman" w:eastAsia="Calibri" w:hAnsi="Times New Roman" w:cs="Times New Roman"/>
          <w:color w:val="000000" w:themeColor="text1"/>
          <w:spacing w:val="-4"/>
          <w:sz w:val="28"/>
          <w:szCs w:val="28"/>
        </w:rPr>
        <w:t>на</w:t>
      </w:r>
      <w:r>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в целях стимулирования роста налогового потенциала и качества планирования доходов в городских округах и муниципальных районах автономного округа в порядке, установленном Правительством автономного округа, в сумме</w:t>
      </w:r>
      <w:r>
        <w:rPr>
          <w:rFonts w:ascii="Times New Roman" w:eastAsia="Calibri" w:hAnsi="Times New Roman" w:cs="Times New Roman"/>
          <w:color w:val="000000" w:themeColor="text1"/>
          <w:spacing w:val="-4"/>
          <w:sz w:val="28"/>
          <w:szCs w:val="28"/>
        </w:rPr>
        <w:t xml:space="preserve"> 312 295,0 тыс. рублей</w:t>
      </w:r>
      <w:r>
        <w:rPr>
          <w:rFonts w:ascii="Times New Roman" w:hAnsi="Times New Roman" w:cs="Times New Roman"/>
          <w:color w:val="000000" w:themeColor="text1"/>
          <w:spacing w:val="-4"/>
          <w:sz w:val="28"/>
          <w:szCs w:val="28"/>
        </w:rPr>
        <w:t>;</w:t>
      </w:r>
    </w:p>
    <w:p w:rsidR="00CF4B94" w:rsidRDefault="00116D5C">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5) на</w:t>
      </w:r>
      <w:r>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на поощрение достижения наилучших значений показателей деятельности органов местного самоуправления городских округов и муниципальных районов автономного округа в порядке, установленном Правительством автономного округа, в сумме</w:t>
      </w:r>
      <w:r>
        <w:rPr>
          <w:rFonts w:ascii="Times New Roman" w:eastAsia="Calibri" w:hAnsi="Times New Roman" w:cs="Times New Roman"/>
          <w:color w:val="000000" w:themeColor="text1"/>
          <w:spacing w:val="-4"/>
          <w:sz w:val="28"/>
          <w:szCs w:val="28"/>
        </w:rPr>
        <w:t xml:space="preserve"> 100 000,0 тыс. рублей</w:t>
      </w:r>
      <w:r>
        <w:rPr>
          <w:rFonts w:ascii="Times New Roman" w:hAnsi="Times New Roman" w:cs="Times New Roman"/>
          <w:color w:val="000000" w:themeColor="text1"/>
          <w:spacing w:val="-4"/>
          <w:sz w:val="28"/>
          <w:szCs w:val="28"/>
        </w:rPr>
        <w:t>;</w:t>
      </w:r>
    </w:p>
    <w:p w:rsidR="00CF4B94" w:rsidRDefault="00116D5C">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6) на</w:t>
      </w:r>
      <w:r>
        <w:rPr>
          <w:rFonts w:ascii="Times New Roman" w:hAnsi="Times New Roman" w:cs="Times New Roman"/>
          <w:color w:val="000000" w:themeColor="text1"/>
          <w:spacing w:val="-4"/>
          <w:sz w:val="28"/>
          <w:szCs w:val="28"/>
        </w:rPr>
        <w:t xml:space="preserve"> предоставление иных межбюджетных трансфертов бюджетам муниципальных районов и городских округов автономного округа на возмещение (компенсацию) части расходов по доставке в муниципальные образования автономного округа продукции (товаров), необходимой для обеспечения жизнедеятельности населения муниципальных образований </w:t>
      </w:r>
      <w:r>
        <w:rPr>
          <w:rFonts w:ascii="Times New Roman" w:hAnsi="Times New Roman" w:cs="Times New Roman"/>
          <w:color w:val="000000" w:themeColor="text1"/>
          <w:spacing w:val="-4"/>
          <w:sz w:val="28"/>
          <w:szCs w:val="28"/>
        </w:rPr>
        <w:br/>
        <w:t xml:space="preserve">Ханты-Мансийского автономного округа – Югры, отнесенных к территориям </w:t>
      </w:r>
      <w:r>
        <w:rPr>
          <w:rFonts w:ascii="Times New Roman" w:hAnsi="Times New Roman" w:cs="Times New Roman"/>
          <w:color w:val="000000" w:themeColor="text1"/>
          <w:spacing w:val="-4"/>
          <w:sz w:val="28"/>
          <w:szCs w:val="28"/>
        </w:rPr>
        <w:br/>
        <w:t>с ограниченными сроками завоза грузов, в порядке, установленном Правительством автономного округа, в сумме</w:t>
      </w:r>
      <w:r>
        <w:rPr>
          <w:rFonts w:ascii="Times New Roman" w:eastAsia="Calibri" w:hAnsi="Times New Roman" w:cs="Times New Roman"/>
          <w:color w:val="000000" w:themeColor="text1"/>
          <w:spacing w:val="-4"/>
          <w:sz w:val="28"/>
          <w:szCs w:val="28"/>
        </w:rPr>
        <w:t xml:space="preserve"> 200 000,0 тыс. рублей</w:t>
      </w:r>
      <w:r>
        <w:rPr>
          <w:rFonts w:ascii="Times New Roman" w:hAnsi="Times New Roman" w:cs="Times New Roman"/>
          <w:color w:val="000000" w:themeColor="text1"/>
          <w:spacing w:val="-4"/>
          <w:sz w:val="28"/>
          <w:szCs w:val="28"/>
        </w:rPr>
        <w:t>.</w:t>
      </w:r>
    </w:p>
    <w:p w:rsidR="00CF4B94" w:rsidRDefault="00116D5C">
      <w:pPr>
        <w:tabs>
          <w:tab w:val="left" w:pos="1701"/>
        </w:tabs>
        <w:spacing w:after="0" w:line="235" w:lineRule="auto"/>
        <w:ind w:firstLine="709"/>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color w:val="000000" w:themeColor="text1"/>
          <w:spacing w:val="-2"/>
          <w:sz w:val="28"/>
          <w:szCs w:val="28"/>
        </w:rPr>
        <w:t>3. Учет операций со средствами бюджетных и автономных учреждений, созданных на базе имущества, находящегося в собственности автономного округа, производится на лицевых счетах, открываемых им в Департаменте финансов автономного округа в установленном им порядке.</w:t>
      </w:r>
    </w:p>
    <w:p w:rsidR="00CF4B94" w:rsidRDefault="00116D5C">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4. 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бюджетные инвестиции, предоставленные из бюджета автономного округа, производится на лицевых счетах, открываемых им в Департаменте финансов автономного округа в установленном им порядке.</w:t>
      </w:r>
    </w:p>
    <w:p w:rsidR="00CF4B94" w:rsidRDefault="00116D5C">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Положение абзаца первого настоящего пункта не распространяется на субсидии, предоставляемые:</w:t>
      </w:r>
    </w:p>
    <w:p w:rsidR="00CF4B94" w:rsidRDefault="00116D5C">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CF4B94" w:rsidRDefault="00116D5C">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в порядке финансового обеспечения исполнения регионального социального заказа на оказание государственных услуг в социальной сфере;</w:t>
      </w:r>
    </w:p>
    <w:p w:rsidR="00CF4B94" w:rsidRDefault="00116D5C">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themeColor="text1"/>
          <w:sz w:val="28"/>
          <w:szCs w:val="28"/>
        </w:rPr>
        <w:lastRenderedPageBreak/>
        <w:t xml:space="preserve">социально ориентированным некоммерческим организациям </w:t>
      </w:r>
      <w:r>
        <w:rPr>
          <w:rFonts w:ascii="Times New Roman" w:eastAsia="Calibri" w:hAnsi="Times New Roman" w:cs="Times New Roman"/>
          <w:sz w:val="28"/>
          <w:szCs w:val="28"/>
        </w:rPr>
        <w:t>на сумму не более 10 000,0 тыс. рублей;</w:t>
      </w:r>
    </w:p>
    <w:p w:rsidR="00CF4B94" w:rsidRDefault="00116D5C">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в порядке финансового обеспечения затрат, включая гранты в форме субсидий, на сумму не более 1 000,0 тыс. рублей</w:t>
      </w:r>
      <w:r>
        <w:rPr>
          <w:rFonts w:ascii="Times New Roman" w:eastAsia="Calibri" w:hAnsi="Times New Roman" w:cs="Times New Roman"/>
          <w:sz w:val="28"/>
          <w:szCs w:val="28"/>
        </w:rPr>
        <w:t xml:space="preserve">. </w:t>
      </w:r>
    </w:p>
    <w:p w:rsidR="00CF4B94" w:rsidRDefault="00CF4B94">
      <w:pPr>
        <w:tabs>
          <w:tab w:val="left" w:pos="1701"/>
        </w:tabs>
        <w:spacing w:after="0" w:line="240" w:lineRule="auto"/>
        <w:ind w:left="2127" w:hanging="1276"/>
        <w:jc w:val="both"/>
        <w:rPr>
          <w:rFonts w:ascii="Times New Roman" w:eastAsia="Calibri" w:hAnsi="Times New Roman" w:cs="Times New Roman"/>
          <w:color w:val="000000" w:themeColor="text1"/>
          <w:sz w:val="28"/>
          <w:szCs w:val="28"/>
        </w:rPr>
      </w:pPr>
    </w:p>
    <w:p w:rsidR="00CF4B94" w:rsidRDefault="00116D5C">
      <w:pPr>
        <w:tabs>
          <w:tab w:val="left" w:pos="1701"/>
        </w:tabs>
        <w:spacing w:after="0" w:line="240" w:lineRule="auto"/>
        <w:ind w:left="2127" w:hanging="1418"/>
        <w:jc w:val="both"/>
        <w:rPr>
          <w:rFonts w:ascii="Times New Roman" w:eastAsia="Calibri" w:hAnsi="Times New Roman" w:cs="Times New Roman"/>
          <w:b/>
          <w:color w:val="000000" w:themeColor="text1"/>
          <w:sz w:val="28"/>
          <w:szCs w:val="28"/>
        </w:rPr>
      </w:pPr>
      <w:r>
        <w:rPr>
          <w:rFonts w:ascii="Times New Roman" w:eastAsia="Calibri" w:hAnsi="Times New Roman" w:cs="Times New Roman"/>
          <w:color w:val="000000" w:themeColor="text1"/>
          <w:sz w:val="28"/>
          <w:szCs w:val="28"/>
        </w:rPr>
        <w:t>Статья 10.</w:t>
      </w:r>
      <w:r>
        <w:rPr>
          <w:rFonts w:ascii="Times New Roman" w:eastAsia="Calibri" w:hAnsi="Times New Roman" w:cs="Times New Roman"/>
          <w:b/>
          <w:color w:val="000000" w:themeColor="text1"/>
          <w:sz w:val="28"/>
          <w:szCs w:val="28"/>
        </w:rPr>
        <w:t xml:space="preserve"> Казначейское сопровождение средств</w:t>
      </w:r>
    </w:p>
    <w:p w:rsidR="00CF4B94" w:rsidRDefault="00CF4B94">
      <w:pPr>
        <w:tabs>
          <w:tab w:val="left" w:pos="1701"/>
        </w:tabs>
        <w:spacing w:after="0" w:line="240" w:lineRule="auto"/>
        <w:ind w:firstLine="709"/>
        <w:jc w:val="both"/>
        <w:rPr>
          <w:rFonts w:ascii="Times New Roman" w:eastAsia="Calibri" w:hAnsi="Times New Roman" w:cs="Times New Roman"/>
          <w:color w:val="000000" w:themeColor="text1"/>
          <w:sz w:val="28"/>
          <w:szCs w:val="28"/>
        </w:rPr>
      </w:pPr>
    </w:p>
    <w:p w:rsidR="00CF4B94" w:rsidRDefault="00116D5C">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Установить, что в 2025 году Департамент финансов автономного округа осуществляет казначейское сопровождение средств, указанных в пункте 2 настоящей статьи, предоставляемых из бюджета автономного округа.</w:t>
      </w:r>
    </w:p>
    <w:p w:rsidR="00CF4B94" w:rsidRDefault="00116D5C">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 Казначейскому сопровождению подлежат:</w:t>
      </w:r>
    </w:p>
    <w:p w:rsidR="00CF4B94" w:rsidRDefault="00116D5C">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1) авансовые платежи по государственным контрактам о поставке товаров, выполнении работ, оказании услуг, заключаемым на сумму </w:t>
      </w:r>
      <w:r>
        <w:rPr>
          <w:rFonts w:ascii="Times New Roman" w:eastAsia="Calibri" w:hAnsi="Times New Roman" w:cs="Times New Roman"/>
          <w:color w:val="000000" w:themeColor="text1"/>
          <w:sz w:val="28"/>
          <w:szCs w:val="28"/>
        </w:rPr>
        <w:br/>
        <w:t xml:space="preserve">50 000,0 </w:t>
      </w:r>
      <w:r>
        <w:rPr>
          <w:rFonts w:ascii="Times New Roman" w:eastAsia="Calibri" w:hAnsi="Times New Roman" w:cs="Times New Roman"/>
          <w:color w:val="000000" w:themeColor="text1"/>
          <w:spacing w:val="-4"/>
          <w:sz w:val="28"/>
          <w:szCs w:val="28"/>
        </w:rPr>
        <w:t>тыс.</w:t>
      </w:r>
      <w:r>
        <w:rPr>
          <w:rFonts w:ascii="Times New Roman" w:eastAsia="Calibri" w:hAnsi="Times New Roman" w:cs="Times New Roman"/>
          <w:color w:val="000000" w:themeColor="text1"/>
          <w:sz w:val="28"/>
          <w:szCs w:val="28"/>
        </w:rPr>
        <w:t xml:space="preserve"> рублей и более;</w:t>
      </w:r>
    </w:p>
    <w:p w:rsidR="00CF4B94" w:rsidRDefault="00116D5C">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themeColor="text1"/>
          <w:sz w:val="28"/>
          <w:szCs w:val="28"/>
        </w:rPr>
        <w:t xml:space="preserve">2) авансовые платежи по контрактам (договорам) о поставке товаров, выполнении работ, оказании услуг, заключаемым на сумму 50 000,0 </w:t>
      </w:r>
      <w:r>
        <w:rPr>
          <w:rFonts w:ascii="Times New Roman" w:eastAsia="Calibri" w:hAnsi="Times New Roman" w:cs="Times New Roman"/>
          <w:color w:val="000000" w:themeColor="text1"/>
          <w:spacing w:val="-4"/>
          <w:sz w:val="28"/>
          <w:szCs w:val="28"/>
        </w:rPr>
        <w:t xml:space="preserve">тыс. </w:t>
      </w:r>
      <w:r>
        <w:rPr>
          <w:rFonts w:ascii="Times New Roman" w:eastAsia="Calibri" w:hAnsi="Times New Roman" w:cs="Times New Roman"/>
          <w:color w:val="000000" w:themeColor="text1"/>
          <w:sz w:val="28"/>
          <w:szCs w:val="28"/>
        </w:rPr>
        <w:t>рублей и более бюджетными или автономными учреждениями автономного округа, лицевые счета которым открыты в Департаменте финансов автономного округа</w:t>
      </w:r>
      <w:r>
        <w:rPr>
          <w:rFonts w:ascii="Times New Roman" w:eastAsia="Calibri" w:hAnsi="Times New Roman" w:cs="Times New Roman"/>
          <w:sz w:val="28"/>
          <w:szCs w:val="28"/>
        </w:rPr>
        <w:t>;</w:t>
      </w:r>
    </w:p>
    <w:p w:rsidR="00CF4B94" w:rsidRDefault="00116D5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3) расчеты по государственным контрактам, заключаемым в соответствии с </w:t>
      </w:r>
      <w:hyperlink r:id="rId11" w:tooltip="consultantplus://offline/ref=9C54D03F3E61BA041C952DA0515FE4C725CE1EBFE965470B0BCFDFE242726984BA7F74BC38CEA376AB236AC14CFED4782F94719163E5TAVDH" w:history="1">
        <w:r>
          <w:rPr>
            <w:rFonts w:ascii="Times New Roman" w:eastAsia="Calibri" w:hAnsi="Times New Roman" w:cs="Times New Roman"/>
            <w:color w:val="000000" w:themeColor="text1"/>
            <w:sz w:val="28"/>
            <w:szCs w:val="28"/>
          </w:rPr>
          <w:t>пунктом 2 части 1 статьи 93</w:t>
        </w:r>
      </w:hyperlink>
      <w:r>
        <w:rPr>
          <w:rFonts w:ascii="Times New Roman" w:eastAsia="Calibri" w:hAnsi="Times New Roman" w:cs="Times New Roman"/>
          <w:color w:val="000000" w:themeColor="text1"/>
          <w:sz w:val="28"/>
          <w:szCs w:val="2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(или) в иных случаях осуществления закупок для государственных нужд у единственного поставщика (подрядчика, исполнителя) в соответствии с иными федеральными законами на сумму более 3 000,0 тыс. рублей, а также расчеты по контрактам (договорам), заключаемым в целях исполнения указанных государственных контрактов на сумму более 3 000,0 тыс. рублей;</w:t>
      </w:r>
    </w:p>
    <w:p w:rsidR="00CF4B94" w:rsidRDefault="00116D5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4) </w:t>
      </w:r>
      <w:r>
        <w:rPr>
          <w:rFonts w:ascii="Times New Roman" w:eastAsia="Calibri" w:hAnsi="Times New Roman" w:cs="Times New Roman"/>
          <w:color w:val="000000" w:themeColor="text1"/>
          <w:sz w:val="28"/>
          <w:szCs w:val="28"/>
        </w:rPr>
        <w:t xml:space="preserve">авансовые платежи по контрактам (договорам) о поставке товаров, выполнении работ, оказании услуг, заключаемым на сумму более 3 000,0 тыс. рублей исполнителями и соисполнителями в рамках исполнения указанных </w:t>
      </w:r>
      <w:r>
        <w:rPr>
          <w:rFonts w:ascii="Times New Roman" w:eastAsia="Calibri" w:hAnsi="Times New Roman" w:cs="Times New Roman"/>
          <w:color w:val="000000" w:themeColor="text1"/>
          <w:sz w:val="28"/>
          <w:szCs w:val="28"/>
        </w:rPr>
        <w:br/>
        <w:t>в под</w:t>
      </w:r>
      <w:hyperlink r:id="rId12" w:tooltip="https://login.consultant.ru/link/?req=doc&amp;base=RLAW926&amp;n=304800&amp;dst=100221&amp;field=134&amp;date=27.08.2024" w:history="1">
        <w:r>
          <w:rPr>
            <w:rFonts w:ascii="Times New Roman" w:eastAsia="Calibri" w:hAnsi="Times New Roman" w:cs="Times New Roman"/>
            <w:color w:val="000000" w:themeColor="text1"/>
            <w:sz w:val="28"/>
            <w:szCs w:val="28"/>
          </w:rPr>
          <w:t>пунктах 1</w:t>
        </w:r>
      </w:hyperlink>
      <w:r>
        <w:rPr>
          <w:rFonts w:ascii="Times New Roman" w:eastAsia="Calibri" w:hAnsi="Times New Roman" w:cs="Times New Roman"/>
          <w:color w:val="000000" w:themeColor="text1"/>
          <w:sz w:val="28"/>
          <w:szCs w:val="28"/>
        </w:rPr>
        <w:t xml:space="preserve"> и </w:t>
      </w:r>
      <w:hyperlink r:id="rId13" w:tooltip="https://login.consultant.ru/link/?req=doc&amp;base=RLAW926&amp;n=304800&amp;dst=100222&amp;field=134&amp;date=27.08.2024" w:history="1">
        <w:r>
          <w:rPr>
            <w:rFonts w:ascii="Times New Roman" w:eastAsia="Calibri" w:hAnsi="Times New Roman" w:cs="Times New Roman"/>
            <w:color w:val="000000" w:themeColor="text1"/>
            <w:sz w:val="28"/>
            <w:szCs w:val="28"/>
          </w:rPr>
          <w:t>2</w:t>
        </w:r>
      </w:hyperlink>
      <w:r>
        <w:rPr>
          <w:rFonts w:ascii="Times New Roman" w:eastAsia="Calibri" w:hAnsi="Times New Roman" w:cs="Times New Roman"/>
          <w:color w:val="000000" w:themeColor="text1"/>
          <w:sz w:val="28"/>
          <w:szCs w:val="28"/>
        </w:rPr>
        <w:t xml:space="preserve"> настоящего пункта государственных контрактов (контрактов, договоров) о поставке товаров, выполнении работ, оказании услуг;</w:t>
      </w:r>
    </w:p>
    <w:p w:rsidR="00CF4B94" w:rsidRDefault="00116D5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5) авансовые платежи по контрактам (договорам, соглашениям) о поставке товаров, выполнении работ, оказании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источником финансового обеспечения которых являются субсидии (за исключением субсидий бюджетным и автономным учреждениям), в том числе в соответствии с концессионными соглашениями, соглашениями о государственно-частном партнерстве, бюджетные инвестиции юридическим лицам на сумму более 3 000,0 тыс. рублей;</w:t>
      </w:r>
    </w:p>
    <w:p w:rsidR="00CF4B94" w:rsidRDefault="00116D5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6)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w:t>
      </w:r>
      <w:r>
        <w:rPr>
          <w:rFonts w:ascii="Times New Roman" w:eastAsia="Calibri" w:hAnsi="Times New Roman" w:cs="Times New Roman"/>
          <w:color w:val="000000" w:themeColor="text1"/>
          <w:sz w:val="28"/>
          <w:szCs w:val="28"/>
        </w:rPr>
        <w:lastRenderedPageBreak/>
        <w:t>(складочные) капиталы, источником финансового обеспечения которых являются субсидии и бюджетные инвестиции, предоставляемые из бюджета автономного округа, указанные в под</w:t>
      </w:r>
      <w:hyperlink r:id="rId14" w:tooltip="https://login.consultant.ru/link/?req=doc&amp;base=LAW&amp;n=462891&amp;dst=100056&amp;field=134&amp;date=03.05.2024" w:history="1">
        <w:r>
          <w:rPr>
            <w:rFonts w:ascii="Times New Roman" w:eastAsia="Calibri" w:hAnsi="Times New Roman" w:cs="Times New Roman"/>
            <w:color w:val="000000" w:themeColor="text1"/>
            <w:sz w:val="28"/>
            <w:szCs w:val="28"/>
          </w:rPr>
          <w:t xml:space="preserve">пункте </w:t>
        </w:r>
      </w:hyperlink>
      <w:r>
        <w:rPr>
          <w:rFonts w:ascii="Times New Roman" w:eastAsia="Calibri" w:hAnsi="Times New Roman" w:cs="Times New Roman"/>
          <w:color w:val="000000" w:themeColor="text1"/>
          <w:sz w:val="28"/>
          <w:szCs w:val="28"/>
        </w:rPr>
        <w:t>5 настоящего пункта;</w:t>
      </w:r>
    </w:p>
    <w:p w:rsidR="00CF4B94" w:rsidRDefault="00116D5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7) авансовые платежи по контрактам (договорам) о поставке товаров, выполнении работ, оказании услуг, источником финансового обеспечения которых являются взносы (вклады), указанные в под</w:t>
      </w:r>
      <w:hyperlink r:id="rId15" w:tooltip="https://login.consultant.ru/link/?req=doc&amp;base=LAW&amp;n=462891&amp;dst=100056&amp;field=134&amp;date=03.05.2024" w:history="1">
        <w:r>
          <w:rPr>
            <w:rFonts w:ascii="Times New Roman" w:eastAsia="Calibri" w:hAnsi="Times New Roman" w:cs="Times New Roman"/>
            <w:color w:val="000000" w:themeColor="text1"/>
            <w:sz w:val="28"/>
            <w:szCs w:val="28"/>
          </w:rPr>
          <w:t xml:space="preserve">пункте </w:t>
        </w:r>
      </w:hyperlink>
      <w:r>
        <w:rPr>
          <w:rFonts w:ascii="Times New Roman" w:eastAsia="Calibri" w:hAnsi="Times New Roman" w:cs="Times New Roman"/>
          <w:color w:val="000000" w:themeColor="text1"/>
          <w:sz w:val="28"/>
          <w:szCs w:val="28"/>
        </w:rPr>
        <w:t>6 настоящего пункта, на сумму более 3 000,0 тыс. рублей;</w:t>
      </w:r>
    </w:p>
    <w:p w:rsidR="00CF4B94" w:rsidRDefault="00116D5C">
      <w:pPr>
        <w:spacing w:after="0" w:line="240" w:lineRule="auto"/>
        <w:ind w:firstLine="709"/>
        <w:jc w:val="both"/>
        <w:rPr>
          <w:rFonts w:ascii="Times New Roman" w:hAnsi="Times New Roman" w:cs="Times New Roman"/>
          <w:bCs/>
          <w:strike/>
          <w:sz w:val="28"/>
          <w:szCs w:val="28"/>
        </w:rPr>
      </w:pPr>
      <w:r>
        <w:rPr>
          <w:rFonts w:ascii="Times New Roman" w:eastAsia="Calibri" w:hAnsi="Times New Roman" w:cs="Times New Roman"/>
          <w:color w:val="000000" w:themeColor="text1"/>
          <w:sz w:val="28"/>
          <w:szCs w:val="28"/>
        </w:rPr>
        <w:t>8) иные средства, определенные решением</w:t>
      </w:r>
      <w:r>
        <w:rPr>
          <w:rFonts w:ascii="Times New Roman" w:hAnsi="Times New Roman" w:cs="Times New Roman"/>
          <w:bCs/>
          <w:sz w:val="28"/>
          <w:szCs w:val="28"/>
        </w:rPr>
        <w:t xml:space="preserve"> Правительства автономного округа;</w:t>
      </w:r>
    </w:p>
    <w:p w:rsidR="00CF4B94" w:rsidRDefault="00116D5C">
      <w:pPr>
        <w:spacing w:after="0" w:line="240" w:lineRule="auto"/>
        <w:ind w:firstLine="709"/>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sz w:val="28"/>
          <w:szCs w:val="28"/>
        </w:rPr>
        <w:t>9) ср</w:t>
      </w:r>
      <w:r>
        <w:rPr>
          <w:rFonts w:ascii="Times New Roman" w:eastAsia="Calibri" w:hAnsi="Times New Roman" w:cs="Times New Roman"/>
          <w:color w:val="000000" w:themeColor="text1"/>
          <w:sz w:val="28"/>
          <w:szCs w:val="28"/>
        </w:rPr>
        <w:t xml:space="preserve">едства, получаемые участниками казначейского сопровождения, </w:t>
      </w:r>
      <w:r>
        <w:rPr>
          <w:rFonts w:ascii="Times New Roman" w:eastAsia="Calibri" w:hAnsi="Times New Roman" w:cs="Times New Roman"/>
          <w:color w:val="000000" w:themeColor="text1"/>
          <w:sz w:val="28"/>
          <w:szCs w:val="28"/>
        </w:rPr>
        <w:br/>
      </w:r>
      <w:r>
        <w:rPr>
          <w:rFonts w:ascii="Times New Roman" w:eastAsia="Calibri" w:hAnsi="Times New Roman" w:cs="Times New Roman"/>
          <w:color w:val="000000" w:themeColor="text1"/>
          <w:spacing w:val="-2"/>
          <w:sz w:val="28"/>
          <w:szCs w:val="28"/>
        </w:rPr>
        <w:t>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
    <w:p w:rsidR="00CF4B94" w:rsidRDefault="00116D5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3. Установить, что в 2025 году при казначейском сопровождении средств, предоставляемых на основании контрактов (договоров), определенных под</w:t>
      </w:r>
      <w:hyperlink r:id="rId16" w:tooltip="https://login.consultant.ru/link/?req=doc&amp;base=RLAW926&amp;n=304800&amp;dst=100222&amp;field=134&amp;date=27.08.2024" w:history="1">
        <w:r>
          <w:rPr>
            <w:rFonts w:ascii="Times New Roman" w:eastAsia="Calibri" w:hAnsi="Times New Roman" w:cs="Times New Roman"/>
            <w:color w:val="000000" w:themeColor="text1"/>
            <w:sz w:val="28"/>
            <w:szCs w:val="28"/>
          </w:rPr>
          <w:t xml:space="preserve">пунктом </w:t>
        </w:r>
      </w:hyperlink>
      <w:r>
        <w:rPr>
          <w:rFonts w:ascii="Times New Roman" w:eastAsia="Calibri" w:hAnsi="Times New Roman" w:cs="Times New Roman"/>
          <w:color w:val="000000" w:themeColor="text1"/>
          <w:sz w:val="28"/>
          <w:szCs w:val="28"/>
        </w:rPr>
        <w:t xml:space="preserve">3 пункта 2 настоящей статьи,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автономного округа, на расчетные счета, открытые поставщикам (подрядчикам, исполнителям) в кредитных организациях: </w:t>
      </w:r>
    </w:p>
    <w:p w:rsidR="00CF4B94" w:rsidRDefault="00116D5C">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в целях приобретения товаров – при представлении заказчиками по таким контрактам (договорам) документов, подтверждающих поставку товаров; </w:t>
      </w:r>
    </w:p>
    <w:p w:rsidR="00CF4B94" w:rsidRDefault="00116D5C">
      <w:pPr>
        <w:pStyle w:val="aff3"/>
        <w:spacing w:before="0" w:beforeAutospacing="0" w:after="0" w:afterAutospacing="0" w:line="288" w:lineRule="atLeast"/>
        <w:ind w:firstLine="709"/>
        <w:jc w:val="both"/>
        <w:rPr>
          <w:sz w:val="28"/>
          <w:szCs w:val="28"/>
        </w:rPr>
      </w:pPr>
      <w:r>
        <w:rPr>
          <w:rFonts w:eastAsia="Calibri"/>
          <w:color w:val="000000" w:themeColor="text1"/>
          <w:sz w:val="28"/>
          <w:szCs w:val="28"/>
        </w:rPr>
        <w:t xml:space="preserve">в целях выполнения работ, оказания услуг </w:t>
      </w:r>
      <w:r>
        <w:rPr>
          <w:sz w:val="28"/>
          <w:szCs w:val="28"/>
        </w:rPr>
        <w:t>в рамках исполнения государственных контрактов, контрактов (договоров)</w:t>
      </w:r>
      <w:bookmarkStart w:id="2" w:name="_Hlk179218089"/>
      <w:r>
        <w:rPr>
          <w:sz w:val="28"/>
          <w:szCs w:val="28"/>
        </w:rPr>
        <w:t>,</w:t>
      </w:r>
      <w:r>
        <w:rPr>
          <w:b/>
          <w:bCs/>
          <w:sz w:val="28"/>
          <w:szCs w:val="28"/>
        </w:rPr>
        <w:t xml:space="preserve"> </w:t>
      </w:r>
      <w:r>
        <w:rPr>
          <w:sz w:val="28"/>
          <w:szCs w:val="28"/>
        </w:rPr>
        <w:t>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w:t>
      </w:r>
      <w:bookmarkEnd w:id="2"/>
      <w:r>
        <w:rPr>
          <w:sz w:val="28"/>
          <w:szCs w:val="28"/>
        </w:rPr>
        <w:t>, – при представлении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CF4B94" w:rsidRDefault="00CF4B94">
      <w:pPr>
        <w:tabs>
          <w:tab w:val="left" w:pos="1701"/>
        </w:tabs>
        <w:spacing w:after="0" w:line="240" w:lineRule="auto"/>
        <w:ind w:firstLine="709"/>
        <w:jc w:val="both"/>
        <w:rPr>
          <w:rFonts w:ascii="Times New Roman" w:eastAsia="Calibri" w:hAnsi="Times New Roman" w:cs="Times New Roman"/>
          <w:sz w:val="28"/>
          <w:szCs w:val="28"/>
        </w:rPr>
      </w:pPr>
    </w:p>
    <w:p w:rsidR="00CF4B94" w:rsidRDefault="00116D5C">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Статья 11. </w:t>
      </w:r>
      <w:r>
        <w:rPr>
          <w:rFonts w:ascii="Times New Roman" w:eastAsia="Calibri" w:hAnsi="Times New Roman" w:cs="Times New Roman"/>
          <w:b/>
          <w:sz w:val="28"/>
          <w:szCs w:val="28"/>
        </w:rPr>
        <w:t>Вступление в силу настоящего Закона</w:t>
      </w:r>
    </w:p>
    <w:p w:rsidR="00CF4B94" w:rsidRDefault="00CF4B94">
      <w:pPr>
        <w:tabs>
          <w:tab w:val="left" w:pos="1701"/>
        </w:tabs>
        <w:spacing w:after="0" w:line="240" w:lineRule="auto"/>
        <w:ind w:firstLine="709"/>
        <w:jc w:val="both"/>
        <w:rPr>
          <w:rFonts w:ascii="Times New Roman" w:eastAsia="Calibri" w:hAnsi="Times New Roman" w:cs="Times New Roman"/>
          <w:sz w:val="28"/>
          <w:szCs w:val="28"/>
        </w:rPr>
      </w:pPr>
    </w:p>
    <w:p w:rsidR="00CF4B94" w:rsidRDefault="00116D5C">
      <w:pPr>
        <w:tabs>
          <w:tab w:val="left" w:pos="1701"/>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Настоящий Закон вступает в силу с 1 января 2025 года.</w:t>
      </w:r>
    </w:p>
    <w:p w:rsidR="00CF4B94" w:rsidRDefault="00CF4B94">
      <w:pPr>
        <w:tabs>
          <w:tab w:val="left" w:pos="1701"/>
        </w:tabs>
        <w:spacing w:after="0" w:line="240" w:lineRule="auto"/>
        <w:jc w:val="both"/>
        <w:rPr>
          <w:rFonts w:ascii="Times New Roman" w:eastAsia="Calibri" w:hAnsi="Times New Roman" w:cs="Times New Roman"/>
          <w:spacing w:val="-2"/>
          <w:sz w:val="28"/>
          <w:szCs w:val="28"/>
        </w:rPr>
      </w:pPr>
    </w:p>
    <w:p w:rsidR="00CF4B94" w:rsidRDefault="00CF4B94">
      <w:pPr>
        <w:tabs>
          <w:tab w:val="left" w:pos="1701"/>
        </w:tabs>
        <w:spacing w:after="0" w:line="240" w:lineRule="auto"/>
        <w:jc w:val="both"/>
        <w:rPr>
          <w:rFonts w:ascii="Times New Roman" w:eastAsia="Calibri" w:hAnsi="Times New Roman" w:cs="Times New Roman"/>
          <w:spacing w:val="-2"/>
          <w:sz w:val="28"/>
          <w:szCs w:val="28"/>
        </w:rPr>
      </w:pPr>
    </w:p>
    <w:tbl>
      <w:tblPr>
        <w:tblW w:w="9606" w:type="dxa"/>
        <w:tblInd w:w="-108" w:type="dxa"/>
        <w:tblLook w:val="01E0" w:firstRow="1" w:lastRow="1" w:firstColumn="1" w:lastColumn="1" w:noHBand="0" w:noVBand="0"/>
      </w:tblPr>
      <w:tblGrid>
        <w:gridCol w:w="4587"/>
        <w:gridCol w:w="5019"/>
      </w:tblGrid>
      <w:tr w:rsidR="00CF4B94">
        <w:trPr>
          <w:trHeight w:val="1475"/>
        </w:trPr>
        <w:tc>
          <w:tcPr>
            <w:tcW w:w="4587" w:type="dxa"/>
          </w:tcPr>
          <w:p w:rsidR="00CF4B94" w:rsidRDefault="00116D5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 Ханты-Мансийск</w:t>
            </w:r>
          </w:p>
          <w:p w:rsidR="00CF4B94" w:rsidRDefault="009837F4">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28</w:t>
            </w:r>
            <w:r w:rsidR="00116D5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ноября</w:t>
            </w:r>
            <w:r w:rsidR="00116D5C">
              <w:rPr>
                <w:rFonts w:ascii="Times New Roman" w:hAnsi="Times New Roman" w:cs="Times New Roman"/>
                <w:color w:val="000000"/>
                <w:sz w:val="28"/>
                <w:szCs w:val="28"/>
              </w:rPr>
              <w:t xml:space="preserve"> 2024 года</w:t>
            </w:r>
          </w:p>
          <w:p w:rsidR="00CF4B94" w:rsidRDefault="00116D5C" w:rsidP="009837F4">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837F4">
              <w:rPr>
                <w:rFonts w:ascii="Times New Roman" w:hAnsi="Times New Roman" w:cs="Times New Roman"/>
                <w:color w:val="000000"/>
                <w:sz w:val="28"/>
                <w:szCs w:val="28"/>
              </w:rPr>
              <w:t>80-оз</w:t>
            </w:r>
            <w:bookmarkStart w:id="3" w:name="_GoBack"/>
            <w:bookmarkEnd w:id="3"/>
          </w:p>
        </w:tc>
        <w:tc>
          <w:tcPr>
            <w:tcW w:w="5019" w:type="dxa"/>
          </w:tcPr>
          <w:p w:rsidR="00CF4B94" w:rsidRDefault="00116D5C">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Губернатор</w:t>
            </w:r>
          </w:p>
          <w:p w:rsidR="00CF4B94" w:rsidRDefault="00116D5C">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Ханты-Мансийского</w:t>
            </w:r>
          </w:p>
          <w:p w:rsidR="00CF4B94" w:rsidRDefault="00116D5C">
            <w:pPr>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автономного округа – Югры</w:t>
            </w:r>
          </w:p>
          <w:p w:rsidR="00CF4B94" w:rsidRDefault="00CF4B94">
            <w:pPr>
              <w:spacing w:after="0" w:line="240" w:lineRule="auto"/>
              <w:jc w:val="right"/>
              <w:rPr>
                <w:rFonts w:ascii="Times New Roman" w:hAnsi="Times New Roman" w:cs="Times New Roman"/>
                <w:b/>
                <w:color w:val="000000"/>
                <w:sz w:val="28"/>
                <w:szCs w:val="28"/>
              </w:rPr>
            </w:pPr>
          </w:p>
          <w:p w:rsidR="00CF4B94" w:rsidRDefault="00116D5C">
            <w:pPr>
              <w:spacing w:after="0" w:line="240" w:lineRule="auto"/>
              <w:jc w:val="right"/>
              <w:rPr>
                <w:rFonts w:ascii="Times New Roman" w:hAnsi="Times New Roman" w:cs="Times New Roman"/>
                <w:color w:val="000000"/>
                <w:sz w:val="28"/>
                <w:szCs w:val="28"/>
              </w:rPr>
            </w:pPr>
            <w:r>
              <w:rPr>
                <w:rFonts w:ascii="Times New Roman" w:hAnsi="Times New Roman" w:cs="Times New Roman"/>
                <w:b/>
                <w:color w:val="000000"/>
                <w:sz w:val="28"/>
                <w:szCs w:val="28"/>
              </w:rPr>
              <w:t xml:space="preserve">  Р.Н. Кухарук</w:t>
            </w:r>
          </w:p>
        </w:tc>
      </w:tr>
    </w:tbl>
    <w:p w:rsidR="00CF4B94" w:rsidRDefault="00CF4B94">
      <w:pPr>
        <w:tabs>
          <w:tab w:val="left" w:pos="1701"/>
        </w:tabs>
        <w:spacing w:after="0" w:line="240" w:lineRule="auto"/>
        <w:jc w:val="both"/>
        <w:rPr>
          <w:rFonts w:ascii="Times New Roman" w:eastAsia="Times New Roman" w:hAnsi="Times New Roman" w:cs="Times New Roman"/>
          <w:b/>
          <w:bCs/>
          <w:color w:val="000000"/>
          <w:sz w:val="28"/>
          <w:szCs w:val="28"/>
          <w:lang w:eastAsia="ru-RU"/>
        </w:rPr>
      </w:pPr>
    </w:p>
    <w:sectPr w:rsidR="00CF4B94">
      <w:headerReference w:type="default" r:id="rId17"/>
      <w:headerReference w:type="first" r:id="rId18"/>
      <w:pgSz w:w="11906" w:h="16838"/>
      <w:pgMar w:top="851" w:right="851"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4C6" w:rsidRDefault="007074C6">
      <w:pPr>
        <w:spacing w:after="0" w:line="240" w:lineRule="auto"/>
      </w:pPr>
      <w:r>
        <w:separator/>
      </w:r>
    </w:p>
  </w:endnote>
  <w:endnote w:type="continuationSeparator" w:id="0">
    <w:p w:rsidR="007074C6" w:rsidRDefault="00707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4C6" w:rsidRDefault="007074C6">
      <w:pPr>
        <w:spacing w:after="0" w:line="240" w:lineRule="auto"/>
      </w:pPr>
      <w:r>
        <w:separator/>
      </w:r>
    </w:p>
  </w:footnote>
  <w:footnote w:type="continuationSeparator" w:id="0">
    <w:p w:rsidR="007074C6" w:rsidRDefault="007074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764771"/>
      <w:docPartObj>
        <w:docPartGallery w:val="Page Numbers (Top of Page)"/>
        <w:docPartUnique/>
      </w:docPartObj>
    </w:sdtPr>
    <w:sdtEndPr/>
    <w:sdtContent>
      <w:p w:rsidR="00CF4B94" w:rsidRDefault="00116D5C">
        <w:pPr>
          <w:pStyle w:val="af8"/>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9837F4">
          <w:rPr>
            <w:rFonts w:ascii="Times New Roman" w:hAnsi="Times New Roman" w:cs="Times New Roman"/>
            <w:noProof/>
            <w:sz w:val="24"/>
            <w:szCs w:val="24"/>
          </w:rPr>
          <w:t>16</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B94" w:rsidRDefault="00CF4B94">
    <w:pPr>
      <w:pStyle w:val="af8"/>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F17D4"/>
    <w:multiLevelType w:val="hybridMultilevel"/>
    <w:tmpl w:val="A2F41CB0"/>
    <w:lvl w:ilvl="0" w:tplc="F502FAC6">
      <w:start w:val="1"/>
      <w:numFmt w:val="decimal"/>
      <w:lvlText w:val="%1."/>
      <w:lvlJc w:val="left"/>
      <w:pPr>
        <w:ind w:left="1069" w:hanging="360"/>
      </w:pPr>
      <w:rPr>
        <w:rFonts w:hint="default"/>
      </w:rPr>
    </w:lvl>
    <w:lvl w:ilvl="1" w:tplc="0DB05438">
      <w:start w:val="1"/>
      <w:numFmt w:val="lowerLetter"/>
      <w:lvlText w:val="%2."/>
      <w:lvlJc w:val="left"/>
      <w:pPr>
        <w:ind w:left="1789" w:hanging="360"/>
      </w:pPr>
    </w:lvl>
    <w:lvl w:ilvl="2" w:tplc="7C5E9E72">
      <w:start w:val="1"/>
      <w:numFmt w:val="lowerRoman"/>
      <w:lvlText w:val="%3."/>
      <w:lvlJc w:val="right"/>
      <w:pPr>
        <w:ind w:left="2509" w:hanging="180"/>
      </w:pPr>
    </w:lvl>
    <w:lvl w:ilvl="3" w:tplc="240E871C">
      <w:start w:val="1"/>
      <w:numFmt w:val="decimal"/>
      <w:lvlText w:val="%4."/>
      <w:lvlJc w:val="left"/>
      <w:pPr>
        <w:ind w:left="3229" w:hanging="360"/>
      </w:pPr>
    </w:lvl>
    <w:lvl w:ilvl="4" w:tplc="C89C7D6C">
      <w:start w:val="1"/>
      <w:numFmt w:val="lowerLetter"/>
      <w:lvlText w:val="%5."/>
      <w:lvlJc w:val="left"/>
      <w:pPr>
        <w:ind w:left="3949" w:hanging="360"/>
      </w:pPr>
    </w:lvl>
    <w:lvl w:ilvl="5" w:tplc="1D7A59F8">
      <w:start w:val="1"/>
      <w:numFmt w:val="lowerRoman"/>
      <w:lvlText w:val="%6."/>
      <w:lvlJc w:val="right"/>
      <w:pPr>
        <w:ind w:left="4669" w:hanging="180"/>
      </w:pPr>
    </w:lvl>
    <w:lvl w:ilvl="6" w:tplc="059EE936">
      <w:start w:val="1"/>
      <w:numFmt w:val="decimal"/>
      <w:lvlText w:val="%7."/>
      <w:lvlJc w:val="left"/>
      <w:pPr>
        <w:ind w:left="5389" w:hanging="360"/>
      </w:pPr>
    </w:lvl>
    <w:lvl w:ilvl="7" w:tplc="5E9A8E64">
      <w:start w:val="1"/>
      <w:numFmt w:val="lowerLetter"/>
      <w:lvlText w:val="%8."/>
      <w:lvlJc w:val="left"/>
      <w:pPr>
        <w:ind w:left="6109" w:hanging="360"/>
      </w:pPr>
    </w:lvl>
    <w:lvl w:ilvl="8" w:tplc="0BA4CF34">
      <w:start w:val="1"/>
      <w:numFmt w:val="lowerRoman"/>
      <w:lvlText w:val="%9."/>
      <w:lvlJc w:val="right"/>
      <w:pPr>
        <w:ind w:left="6829" w:hanging="180"/>
      </w:pPr>
    </w:lvl>
  </w:abstractNum>
  <w:abstractNum w:abstractNumId="1" w15:restartNumberingAfterBreak="0">
    <w:nsid w:val="058436E9"/>
    <w:multiLevelType w:val="hybridMultilevel"/>
    <w:tmpl w:val="71CE6674"/>
    <w:lvl w:ilvl="0" w:tplc="FDEAB92A">
      <w:start w:val="2"/>
      <w:numFmt w:val="decimal"/>
      <w:lvlText w:val="%1)"/>
      <w:lvlJc w:val="left"/>
      <w:pPr>
        <w:ind w:left="7023" w:hanging="360"/>
      </w:pPr>
      <w:rPr>
        <w:rFonts w:hint="default"/>
      </w:rPr>
    </w:lvl>
    <w:lvl w:ilvl="1" w:tplc="35BA7C04">
      <w:start w:val="1"/>
      <w:numFmt w:val="lowerLetter"/>
      <w:lvlText w:val="%2."/>
      <w:lvlJc w:val="left"/>
      <w:pPr>
        <w:ind w:left="1582" w:hanging="360"/>
      </w:pPr>
    </w:lvl>
    <w:lvl w:ilvl="2" w:tplc="1E62F048">
      <w:start w:val="1"/>
      <w:numFmt w:val="lowerRoman"/>
      <w:lvlText w:val="%3."/>
      <w:lvlJc w:val="right"/>
      <w:pPr>
        <w:ind w:left="2302" w:hanging="180"/>
      </w:pPr>
    </w:lvl>
    <w:lvl w:ilvl="3" w:tplc="99D069FC">
      <w:start w:val="1"/>
      <w:numFmt w:val="decimal"/>
      <w:lvlText w:val="%4."/>
      <w:lvlJc w:val="left"/>
      <w:pPr>
        <w:ind w:left="3022" w:hanging="360"/>
      </w:pPr>
    </w:lvl>
    <w:lvl w:ilvl="4" w:tplc="4C62DB3C">
      <w:start w:val="1"/>
      <w:numFmt w:val="lowerLetter"/>
      <w:lvlText w:val="%5."/>
      <w:lvlJc w:val="left"/>
      <w:pPr>
        <w:ind w:left="3742" w:hanging="360"/>
      </w:pPr>
    </w:lvl>
    <w:lvl w:ilvl="5" w:tplc="2294D532">
      <w:start w:val="1"/>
      <w:numFmt w:val="lowerRoman"/>
      <w:lvlText w:val="%6."/>
      <w:lvlJc w:val="right"/>
      <w:pPr>
        <w:ind w:left="4462" w:hanging="180"/>
      </w:pPr>
    </w:lvl>
    <w:lvl w:ilvl="6" w:tplc="71321F12">
      <w:start w:val="1"/>
      <w:numFmt w:val="decimal"/>
      <w:lvlText w:val="%7."/>
      <w:lvlJc w:val="left"/>
      <w:pPr>
        <w:ind w:left="5182" w:hanging="360"/>
      </w:pPr>
    </w:lvl>
    <w:lvl w:ilvl="7" w:tplc="6C22F4CC">
      <w:start w:val="1"/>
      <w:numFmt w:val="lowerLetter"/>
      <w:lvlText w:val="%8."/>
      <w:lvlJc w:val="left"/>
      <w:pPr>
        <w:ind w:left="5902" w:hanging="360"/>
      </w:pPr>
    </w:lvl>
    <w:lvl w:ilvl="8" w:tplc="B93E32CC">
      <w:start w:val="1"/>
      <w:numFmt w:val="lowerRoman"/>
      <w:lvlText w:val="%9."/>
      <w:lvlJc w:val="right"/>
      <w:pPr>
        <w:ind w:left="6622" w:hanging="180"/>
      </w:pPr>
    </w:lvl>
  </w:abstractNum>
  <w:abstractNum w:abstractNumId="2" w15:restartNumberingAfterBreak="0">
    <w:nsid w:val="06DA7C4F"/>
    <w:multiLevelType w:val="hybridMultilevel"/>
    <w:tmpl w:val="57CEE62C"/>
    <w:lvl w:ilvl="0" w:tplc="CFCC66A2">
      <w:start w:val="1"/>
      <w:numFmt w:val="decimal"/>
      <w:lvlText w:val="%1)"/>
      <w:lvlJc w:val="left"/>
      <w:pPr>
        <w:ind w:left="1069" w:hanging="360"/>
      </w:pPr>
      <w:rPr>
        <w:rFonts w:hint="default"/>
      </w:rPr>
    </w:lvl>
    <w:lvl w:ilvl="1" w:tplc="F2DEF1DE">
      <w:start w:val="1"/>
      <w:numFmt w:val="lowerLetter"/>
      <w:lvlText w:val="%2."/>
      <w:lvlJc w:val="left"/>
      <w:pPr>
        <w:ind w:left="1789" w:hanging="360"/>
      </w:pPr>
    </w:lvl>
    <w:lvl w:ilvl="2" w:tplc="827667CA">
      <w:start w:val="1"/>
      <w:numFmt w:val="lowerRoman"/>
      <w:lvlText w:val="%3."/>
      <w:lvlJc w:val="right"/>
      <w:pPr>
        <w:ind w:left="2509" w:hanging="180"/>
      </w:pPr>
    </w:lvl>
    <w:lvl w:ilvl="3" w:tplc="34784432">
      <w:start w:val="1"/>
      <w:numFmt w:val="decimal"/>
      <w:lvlText w:val="%4."/>
      <w:lvlJc w:val="left"/>
      <w:pPr>
        <w:ind w:left="3229" w:hanging="360"/>
      </w:pPr>
    </w:lvl>
    <w:lvl w:ilvl="4" w:tplc="B950C192">
      <w:start w:val="1"/>
      <w:numFmt w:val="lowerLetter"/>
      <w:lvlText w:val="%5."/>
      <w:lvlJc w:val="left"/>
      <w:pPr>
        <w:ind w:left="3949" w:hanging="360"/>
      </w:pPr>
    </w:lvl>
    <w:lvl w:ilvl="5" w:tplc="941EE56C">
      <w:start w:val="1"/>
      <w:numFmt w:val="lowerRoman"/>
      <w:lvlText w:val="%6."/>
      <w:lvlJc w:val="right"/>
      <w:pPr>
        <w:ind w:left="4669" w:hanging="180"/>
      </w:pPr>
    </w:lvl>
    <w:lvl w:ilvl="6" w:tplc="F21CAD34">
      <w:start w:val="1"/>
      <w:numFmt w:val="decimal"/>
      <w:lvlText w:val="%7."/>
      <w:lvlJc w:val="left"/>
      <w:pPr>
        <w:ind w:left="5389" w:hanging="360"/>
      </w:pPr>
    </w:lvl>
    <w:lvl w:ilvl="7" w:tplc="21064B96">
      <w:start w:val="1"/>
      <w:numFmt w:val="lowerLetter"/>
      <w:lvlText w:val="%8."/>
      <w:lvlJc w:val="left"/>
      <w:pPr>
        <w:ind w:left="6109" w:hanging="360"/>
      </w:pPr>
    </w:lvl>
    <w:lvl w:ilvl="8" w:tplc="27BCA3BA">
      <w:start w:val="1"/>
      <w:numFmt w:val="lowerRoman"/>
      <w:lvlText w:val="%9."/>
      <w:lvlJc w:val="right"/>
      <w:pPr>
        <w:ind w:left="6829" w:hanging="180"/>
      </w:pPr>
    </w:lvl>
  </w:abstractNum>
  <w:abstractNum w:abstractNumId="3" w15:restartNumberingAfterBreak="0">
    <w:nsid w:val="22B543B3"/>
    <w:multiLevelType w:val="hybridMultilevel"/>
    <w:tmpl w:val="FF68C736"/>
    <w:lvl w:ilvl="0" w:tplc="F99C9832">
      <w:start w:val="1"/>
      <w:numFmt w:val="decimal"/>
      <w:lvlText w:val="%1."/>
      <w:lvlJc w:val="left"/>
      <w:pPr>
        <w:ind w:left="1069" w:hanging="360"/>
      </w:pPr>
      <w:rPr>
        <w:rFonts w:hint="default"/>
      </w:rPr>
    </w:lvl>
    <w:lvl w:ilvl="1" w:tplc="1EE6E4F0">
      <w:start w:val="1"/>
      <w:numFmt w:val="lowerLetter"/>
      <w:lvlText w:val="%2."/>
      <w:lvlJc w:val="left"/>
      <w:pPr>
        <w:ind w:left="1789" w:hanging="360"/>
      </w:pPr>
    </w:lvl>
    <w:lvl w:ilvl="2" w:tplc="5658CFBC">
      <w:start w:val="1"/>
      <w:numFmt w:val="lowerRoman"/>
      <w:lvlText w:val="%3."/>
      <w:lvlJc w:val="right"/>
      <w:pPr>
        <w:ind w:left="2509" w:hanging="180"/>
      </w:pPr>
    </w:lvl>
    <w:lvl w:ilvl="3" w:tplc="DFCC1FB4">
      <w:start w:val="1"/>
      <w:numFmt w:val="decimal"/>
      <w:lvlText w:val="%4."/>
      <w:lvlJc w:val="left"/>
      <w:pPr>
        <w:ind w:left="3229" w:hanging="360"/>
      </w:pPr>
    </w:lvl>
    <w:lvl w:ilvl="4" w:tplc="93C433F2">
      <w:start w:val="1"/>
      <w:numFmt w:val="lowerLetter"/>
      <w:lvlText w:val="%5."/>
      <w:lvlJc w:val="left"/>
      <w:pPr>
        <w:ind w:left="3949" w:hanging="360"/>
      </w:pPr>
    </w:lvl>
    <w:lvl w:ilvl="5" w:tplc="1BA4ED14">
      <w:start w:val="1"/>
      <w:numFmt w:val="lowerRoman"/>
      <w:lvlText w:val="%6."/>
      <w:lvlJc w:val="right"/>
      <w:pPr>
        <w:ind w:left="4669" w:hanging="180"/>
      </w:pPr>
    </w:lvl>
    <w:lvl w:ilvl="6" w:tplc="AFF6E8D2">
      <w:start w:val="1"/>
      <w:numFmt w:val="decimal"/>
      <w:lvlText w:val="%7."/>
      <w:lvlJc w:val="left"/>
      <w:pPr>
        <w:ind w:left="5389" w:hanging="360"/>
      </w:pPr>
    </w:lvl>
    <w:lvl w:ilvl="7" w:tplc="6876069C">
      <w:start w:val="1"/>
      <w:numFmt w:val="lowerLetter"/>
      <w:lvlText w:val="%8."/>
      <w:lvlJc w:val="left"/>
      <w:pPr>
        <w:ind w:left="6109" w:hanging="360"/>
      </w:pPr>
    </w:lvl>
    <w:lvl w:ilvl="8" w:tplc="0EC02EE2">
      <w:start w:val="1"/>
      <w:numFmt w:val="lowerRoman"/>
      <w:lvlText w:val="%9."/>
      <w:lvlJc w:val="right"/>
      <w:pPr>
        <w:ind w:left="6829" w:hanging="180"/>
      </w:pPr>
    </w:lvl>
  </w:abstractNum>
  <w:abstractNum w:abstractNumId="4" w15:restartNumberingAfterBreak="0">
    <w:nsid w:val="23A34ADC"/>
    <w:multiLevelType w:val="hybridMultilevel"/>
    <w:tmpl w:val="6316E33A"/>
    <w:lvl w:ilvl="0" w:tplc="E98C626E">
      <w:start w:val="1"/>
      <w:numFmt w:val="decimal"/>
      <w:lvlText w:val="%1."/>
      <w:lvlJc w:val="left"/>
      <w:pPr>
        <w:ind w:left="1429" w:hanging="360"/>
      </w:pPr>
    </w:lvl>
    <w:lvl w:ilvl="1" w:tplc="B17A3994">
      <w:start w:val="1"/>
      <w:numFmt w:val="lowerLetter"/>
      <w:lvlText w:val="%2."/>
      <w:lvlJc w:val="left"/>
      <w:pPr>
        <w:ind w:left="2149" w:hanging="360"/>
      </w:pPr>
    </w:lvl>
    <w:lvl w:ilvl="2" w:tplc="64C8CF2C">
      <w:start w:val="1"/>
      <w:numFmt w:val="lowerRoman"/>
      <w:lvlText w:val="%3."/>
      <w:lvlJc w:val="right"/>
      <w:pPr>
        <w:ind w:left="2869" w:hanging="180"/>
      </w:pPr>
    </w:lvl>
    <w:lvl w:ilvl="3" w:tplc="591AC0EA">
      <w:start w:val="1"/>
      <w:numFmt w:val="decimal"/>
      <w:lvlText w:val="%4."/>
      <w:lvlJc w:val="left"/>
      <w:pPr>
        <w:ind w:left="3589" w:hanging="360"/>
      </w:pPr>
    </w:lvl>
    <w:lvl w:ilvl="4" w:tplc="665C6FD0">
      <w:start w:val="1"/>
      <w:numFmt w:val="lowerLetter"/>
      <w:lvlText w:val="%5."/>
      <w:lvlJc w:val="left"/>
      <w:pPr>
        <w:ind w:left="4309" w:hanging="360"/>
      </w:pPr>
    </w:lvl>
    <w:lvl w:ilvl="5" w:tplc="19B0CEF4">
      <w:start w:val="1"/>
      <w:numFmt w:val="lowerRoman"/>
      <w:lvlText w:val="%6."/>
      <w:lvlJc w:val="right"/>
      <w:pPr>
        <w:ind w:left="5029" w:hanging="180"/>
      </w:pPr>
    </w:lvl>
    <w:lvl w:ilvl="6" w:tplc="E6584EB8">
      <w:start w:val="1"/>
      <w:numFmt w:val="decimal"/>
      <w:lvlText w:val="%7."/>
      <w:lvlJc w:val="left"/>
      <w:pPr>
        <w:ind w:left="5749" w:hanging="360"/>
      </w:pPr>
    </w:lvl>
    <w:lvl w:ilvl="7" w:tplc="5650BF4E">
      <w:start w:val="1"/>
      <w:numFmt w:val="lowerLetter"/>
      <w:lvlText w:val="%8."/>
      <w:lvlJc w:val="left"/>
      <w:pPr>
        <w:ind w:left="6469" w:hanging="360"/>
      </w:pPr>
    </w:lvl>
    <w:lvl w:ilvl="8" w:tplc="A7806CF0">
      <w:start w:val="1"/>
      <w:numFmt w:val="lowerRoman"/>
      <w:lvlText w:val="%9."/>
      <w:lvlJc w:val="right"/>
      <w:pPr>
        <w:ind w:left="7189" w:hanging="180"/>
      </w:pPr>
    </w:lvl>
  </w:abstractNum>
  <w:abstractNum w:abstractNumId="5" w15:restartNumberingAfterBreak="0">
    <w:nsid w:val="2C6B3918"/>
    <w:multiLevelType w:val="hybridMultilevel"/>
    <w:tmpl w:val="3202F03E"/>
    <w:lvl w:ilvl="0" w:tplc="40EE80B0">
      <w:start w:val="1"/>
      <w:numFmt w:val="decimal"/>
      <w:lvlText w:val="%1)"/>
      <w:lvlJc w:val="left"/>
      <w:pPr>
        <w:ind w:left="1069" w:hanging="360"/>
      </w:pPr>
      <w:rPr>
        <w:rFonts w:hint="default"/>
      </w:rPr>
    </w:lvl>
    <w:lvl w:ilvl="1" w:tplc="4D02B3D2">
      <w:start w:val="1"/>
      <w:numFmt w:val="lowerLetter"/>
      <w:lvlText w:val="%2."/>
      <w:lvlJc w:val="left"/>
      <w:pPr>
        <w:ind w:left="1789" w:hanging="360"/>
      </w:pPr>
    </w:lvl>
    <w:lvl w:ilvl="2" w:tplc="F886E0E8">
      <w:start w:val="1"/>
      <w:numFmt w:val="lowerRoman"/>
      <w:lvlText w:val="%3."/>
      <w:lvlJc w:val="right"/>
      <w:pPr>
        <w:ind w:left="2509" w:hanging="180"/>
      </w:pPr>
    </w:lvl>
    <w:lvl w:ilvl="3" w:tplc="DAB4E85C">
      <w:start w:val="1"/>
      <w:numFmt w:val="decimal"/>
      <w:lvlText w:val="%4."/>
      <w:lvlJc w:val="left"/>
      <w:pPr>
        <w:ind w:left="3229" w:hanging="360"/>
      </w:pPr>
    </w:lvl>
    <w:lvl w:ilvl="4" w:tplc="9C60AC52">
      <w:start w:val="1"/>
      <w:numFmt w:val="lowerLetter"/>
      <w:lvlText w:val="%5."/>
      <w:lvlJc w:val="left"/>
      <w:pPr>
        <w:ind w:left="3949" w:hanging="360"/>
      </w:pPr>
    </w:lvl>
    <w:lvl w:ilvl="5" w:tplc="5C08FA22">
      <w:start w:val="1"/>
      <w:numFmt w:val="lowerRoman"/>
      <w:lvlText w:val="%6."/>
      <w:lvlJc w:val="right"/>
      <w:pPr>
        <w:ind w:left="4669" w:hanging="180"/>
      </w:pPr>
    </w:lvl>
    <w:lvl w:ilvl="6" w:tplc="AADE7B9C">
      <w:start w:val="1"/>
      <w:numFmt w:val="decimal"/>
      <w:lvlText w:val="%7."/>
      <w:lvlJc w:val="left"/>
      <w:pPr>
        <w:ind w:left="5389" w:hanging="360"/>
      </w:pPr>
    </w:lvl>
    <w:lvl w:ilvl="7" w:tplc="74EE6022">
      <w:start w:val="1"/>
      <w:numFmt w:val="lowerLetter"/>
      <w:lvlText w:val="%8."/>
      <w:lvlJc w:val="left"/>
      <w:pPr>
        <w:ind w:left="6109" w:hanging="360"/>
      </w:pPr>
    </w:lvl>
    <w:lvl w:ilvl="8" w:tplc="808C0744">
      <w:start w:val="1"/>
      <w:numFmt w:val="lowerRoman"/>
      <w:lvlText w:val="%9."/>
      <w:lvlJc w:val="right"/>
      <w:pPr>
        <w:ind w:left="6829" w:hanging="180"/>
      </w:pPr>
    </w:lvl>
  </w:abstractNum>
  <w:abstractNum w:abstractNumId="6" w15:restartNumberingAfterBreak="0">
    <w:nsid w:val="3BA43D48"/>
    <w:multiLevelType w:val="hybridMultilevel"/>
    <w:tmpl w:val="8920F116"/>
    <w:lvl w:ilvl="0" w:tplc="905CAE22">
      <w:start w:val="1"/>
      <w:numFmt w:val="decimal"/>
      <w:lvlText w:val="%1."/>
      <w:lvlJc w:val="left"/>
      <w:pPr>
        <w:ind w:left="1069" w:hanging="360"/>
      </w:pPr>
      <w:rPr>
        <w:rFonts w:hint="default"/>
      </w:rPr>
    </w:lvl>
    <w:lvl w:ilvl="1" w:tplc="DDEC4054">
      <w:start w:val="1"/>
      <w:numFmt w:val="lowerLetter"/>
      <w:lvlText w:val="%2."/>
      <w:lvlJc w:val="left"/>
      <w:pPr>
        <w:ind w:left="1789" w:hanging="360"/>
      </w:pPr>
    </w:lvl>
    <w:lvl w:ilvl="2" w:tplc="2B689A74">
      <w:start w:val="1"/>
      <w:numFmt w:val="lowerRoman"/>
      <w:lvlText w:val="%3."/>
      <w:lvlJc w:val="right"/>
      <w:pPr>
        <w:ind w:left="2509" w:hanging="180"/>
      </w:pPr>
    </w:lvl>
    <w:lvl w:ilvl="3" w:tplc="E2160982">
      <w:start w:val="1"/>
      <w:numFmt w:val="decimal"/>
      <w:lvlText w:val="%4."/>
      <w:lvlJc w:val="left"/>
      <w:pPr>
        <w:ind w:left="3229" w:hanging="360"/>
      </w:pPr>
    </w:lvl>
    <w:lvl w:ilvl="4" w:tplc="214EF354">
      <w:start w:val="1"/>
      <w:numFmt w:val="lowerLetter"/>
      <w:lvlText w:val="%5."/>
      <w:lvlJc w:val="left"/>
      <w:pPr>
        <w:ind w:left="3949" w:hanging="360"/>
      </w:pPr>
    </w:lvl>
    <w:lvl w:ilvl="5" w:tplc="8AEAAC98">
      <w:start w:val="1"/>
      <w:numFmt w:val="lowerRoman"/>
      <w:lvlText w:val="%6."/>
      <w:lvlJc w:val="right"/>
      <w:pPr>
        <w:ind w:left="4669" w:hanging="180"/>
      </w:pPr>
    </w:lvl>
    <w:lvl w:ilvl="6" w:tplc="BE182E70">
      <w:start w:val="1"/>
      <w:numFmt w:val="decimal"/>
      <w:lvlText w:val="%7."/>
      <w:lvlJc w:val="left"/>
      <w:pPr>
        <w:ind w:left="5389" w:hanging="360"/>
      </w:pPr>
    </w:lvl>
    <w:lvl w:ilvl="7" w:tplc="DDD4CDFE">
      <w:start w:val="1"/>
      <w:numFmt w:val="lowerLetter"/>
      <w:lvlText w:val="%8."/>
      <w:lvlJc w:val="left"/>
      <w:pPr>
        <w:ind w:left="6109" w:hanging="360"/>
      </w:pPr>
    </w:lvl>
    <w:lvl w:ilvl="8" w:tplc="31223D1C">
      <w:start w:val="1"/>
      <w:numFmt w:val="lowerRoman"/>
      <w:lvlText w:val="%9."/>
      <w:lvlJc w:val="right"/>
      <w:pPr>
        <w:ind w:left="6829" w:hanging="180"/>
      </w:pPr>
    </w:lvl>
  </w:abstractNum>
  <w:abstractNum w:abstractNumId="7" w15:restartNumberingAfterBreak="0">
    <w:nsid w:val="42D64489"/>
    <w:multiLevelType w:val="hybridMultilevel"/>
    <w:tmpl w:val="E8582FA2"/>
    <w:lvl w:ilvl="0" w:tplc="CED09138">
      <w:start w:val="1"/>
      <w:numFmt w:val="decimal"/>
      <w:lvlText w:val="%1."/>
      <w:lvlJc w:val="left"/>
      <w:pPr>
        <w:ind w:left="1069" w:hanging="360"/>
      </w:pPr>
      <w:rPr>
        <w:rFonts w:hint="default"/>
      </w:rPr>
    </w:lvl>
    <w:lvl w:ilvl="1" w:tplc="A6906630">
      <w:start w:val="1"/>
      <w:numFmt w:val="lowerLetter"/>
      <w:lvlText w:val="%2."/>
      <w:lvlJc w:val="left"/>
      <w:pPr>
        <w:ind w:left="1789" w:hanging="360"/>
      </w:pPr>
    </w:lvl>
    <w:lvl w:ilvl="2" w:tplc="A51E235C">
      <w:start w:val="1"/>
      <w:numFmt w:val="lowerRoman"/>
      <w:lvlText w:val="%3."/>
      <w:lvlJc w:val="right"/>
      <w:pPr>
        <w:ind w:left="2509" w:hanging="180"/>
      </w:pPr>
    </w:lvl>
    <w:lvl w:ilvl="3" w:tplc="01CEA970">
      <w:start w:val="1"/>
      <w:numFmt w:val="decimal"/>
      <w:lvlText w:val="%4."/>
      <w:lvlJc w:val="left"/>
      <w:pPr>
        <w:ind w:left="3229" w:hanging="360"/>
      </w:pPr>
    </w:lvl>
    <w:lvl w:ilvl="4" w:tplc="AAA05F70">
      <w:start w:val="1"/>
      <w:numFmt w:val="lowerLetter"/>
      <w:lvlText w:val="%5."/>
      <w:lvlJc w:val="left"/>
      <w:pPr>
        <w:ind w:left="3949" w:hanging="360"/>
      </w:pPr>
    </w:lvl>
    <w:lvl w:ilvl="5" w:tplc="AFEA447C">
      <w:start w:val="1"/>
      <w:numFmt w:val="lowerRoman"/>
      <w:lvlText w:val="%6."/>
      <w:lvlJc w:val="right"/>
      <w:pPr>
        <w:ind w:left="4669" w:hanging="180"/>
      </w:pPr>
    </w:lvl>
    <w:lvl w:ilvl="6" w:tplc="D11EE47A">
      <w:start w:val="1"/>
      <w:numFmt w:val="decimal"/>
      <w:lvlText w:val="%7."/>
      <w:lvlJc w:val="left"/>
      <w:pPr>
        <w:ind w:left="5389" w:hanging="360"/>
      </w:pPr>
    </w:lvl>
    <w:lvl w:ilvl="7" w:tplc="E04E8D8C">
      <w:start w:val="1"/>
      <w:numFmt w:val="lowerLetter"/>
      <w:lvlText w:val="%8."/>
      <w:lvlJc w:val="left"/>
      <w:pPr>
        <w:ind w:left="6109" w:hanging="360"/>
      </w:pPr>
    </w:lvl>
    <w:lvl w:ilvl="8" w:tplc="AA3A285E">
      <w:start w:val="1"/>
      <w:numFmt w:val="lowerRoman"/>
      <w:lvlText w:val="%9."/>
      <w:lvlJc w:val="right"/>
      <w:pPr>
        <w:ind w:left="6829" w:hanging="180"/>
      </w:pPr>
    </w:lvl>
  </w:abstractNum>
  <w:abstractNum w:abstractNumId="8" w15:restartNumberingAfterBreak="0">
    <w:nsid w:val="445118F0"/>
    <w:multiLevelType w:val="hybridMultilevel"/>
    <w:tmpl w:val="C084422C"/>
    <w:lvl w:ilvl="0" w:tplc="1AF45AA4">
      <w:start w:val="1"/>
      <w:numFmt w:val="decimal"/>
      <w:lvlText w:val="%1)"/>
      <w:lvlJc w:val="left"/>
      <w:pPr>
        <w:ind w:left="1069" w:hanging="360"/>
      </w:pPr>
      <w:rPr>
        <w:rFonts w:hint="default"/>
      </w:rPr>
    </w:lvl>
    <w:lvl w:ilvl="1" w:tplc="BC58F08C">
      <w:start w:val="1"/>
      <w:numFmt w:val="lowerLetter"/>
      <w:lvlText w:val="%2."/>
      <w:lvlJc w:val="left"/>
      <w:pPr>
        <w:ind w:left="1789" w:hanging="360"/>
      </w:pPr>
    </w:lvl>
    <w:lvl w:ilvl="2" w:tplc="D57EFBCE">
      <w:start w:val="1"/>
      <w:numFmt w:val="lowerRoman"/>
      <w:lvlText w:val="%3."/>
      <w:lvlJc w:val="right"/>
      <w:pPr>
        <w:ind w:left="2509" w:hanging="180"/>
      </w:pPr>
    </w:lvl>
    <w:lvl w:ilvl="3" w:tplc="D19E4148">
      <w:start w:val="1"/>
      <w:numFmt w:val="decimal"/>
      <w:lvlText w:val="%4."/>
      <w:lvlJc w:val="left"/>
      <w:pPr>
        <w:ind w:left="3229" w:hanging="360"/>
      </w:pPr>
    </w:lvl>
    <w:lvl w:ilvl="4" w:tplc="D8CEF10A">
      <w:start w:val="1"/>
      <w:numFmt w:val="lowerLetter"/>
      <w:lvlText w:val="%5."/>
      <w:lvlJc w:val="left"/>
      <w:pPr>
        <w:ind w:left="3949" w:hanging="360"/>
      </w:pPr>
    </w:lvl>
    <w:lvl w:ilvl="5" w:tplc="8B967FDC">
      <w:start w:val="1"/>
      <w:numFmt w:val="lowerRoman"/>
      <w:lvlText w:val="%6."/>
      <w:lvlJc w:val="right"/>
      <w:pPr>
        <w:ind w:left="4669" w:hanging="180"/>
      </w:pPr>
    </w:lvl>
    <w:lvl w:ilvl="6" w:tplc="82FA2924">
      <w:start w:val="1"/>
      <w:numFmt w:val="decimal"/>
      <w:lvlText w:val="%7."/>
      <w:lvlJc w:val="left"/>
      <w:pPr>
        <w:ind w:left="5389" w:hanging="360"/>
      </w:pPr>
    </w:lvl>
    <w:lvl w:ilvl="7" w:tplc="CBAC2552">
      <w:start w:val="1"/>
      <w:numFmt w:val="lowerLetter"/>
      <w:lvlText w:val="%8."/>
      <w:lvlJc w:val="left"/>
      <w:pPr>
        <w:ind w:left="6109" w:hanging="360"/>
      </w:pPr>
    </w:lvl>
    <w:lvl w:ilvl="8" w:tplc="1C5A1972">
      <w:start w:val="1"/>
      <w:numFmt w:val="lowerRoman"/>
      <w:lvlText w:val="%9."/>
      <w:lvlJc w:val="right"/>
      <w:pPr>
        <w:ind w:left="6829" w:hanging="180"/>
      </w:pPr>
    </w:lvl>
  </w:abstractNum>
  <w:abstractNum w:abstractNumId="9" w15:restartNumberingAfterBreak="0">
    <w:nsid w:val="44AA03AF"/>
    <w:multiLevelType w:val="hybridMultilevel"/>
    <w:tmpl w:val="F886E258"/>
    <w:lvl w:ilvl="0" w:tplc="E7F4FC82">
      <w:start w:val="1"/>
      <w:numFmt w:val="decimal"/>
      <w:lvlText w:val="%1)"/>
      <w:lvlJc w:val="left"/>
      <w:pPr>
        <w:ind w:left="1069" w:hanging="360"/>
      </w:pPr>
      <w:rPr>
        <w:rFonts w:hint="default"/>
      </w:rPr>
    </w:lvl>
    <w:lvl w:ilvl="1" w:tplc="B9B83A86">
      <w:start w:val="1"/>
      <w:numFmt w:val="lowerLetter"/>
      <w:lvlText w:val="%2."/>
      <w:lvlJc w:val="left"/>
      <w:pPr>
        <w:ind w:left="1789" w:hanging="360"/>
      </w:pPr>
    </w:lvl>
    <w:lvl w:ilvl="2" w:tplc="B910176E">
      <w:start w:val="1"/>
      <w:numFmt w:val="lowerRoman"/>
      <w:lvlText w:val="%3."/>
      <w:lvlJc w:val="right"/>
      <w:pPr>
        <w:ind w:left="2509" w:hanging="180"/>
      </w:pPr>
    </w:lvl>
    <w:lvl w:ilvl="3" w:tplc="558C43B6">
      <w:start w:val="1"/>
      <w:numFmt w:val="decimal"/>
      <w:lvlText w:val="%4."/>
      <w:lvlJc w:val="left"/>
      <w:pPr>
        <w:ind w:left="3229" w:hanging="360"/>
      </w:pPr>
    </w:lvl>
    <w:lvl w:ilvl="4" w:tplc="13364A98">
      <w:start w:val="1"/>
      <w:numFmt w:val="lowerLetter"/>
      <w:lvlText w:val="%5."/>
      <w:lvlJc w:val="left"/>
      <w:pPr>
        <w:ind w:left="3949" w:hanging="360"/>
      </w:pPr>
    </w:lvl>
    <w:lvl w:ilvl="5" w:tplc="FB8E080A">
      <w:start w:val="1"/>
      <w:numFmt w:val="lowerRoman"/>
      <w:lvlText w:val="%6."/>
      <w:lvlJc w:val="right"/>
      <w:pPr>
        <w:ind w:left="4669" w:hanging="180"/>
      </w:pPr>
    </w:lvl>
    <w:lvl w:ilvl="6" w:tplc="BF280E64">
      <w:start w:val="1"/>
      <w:numFmt w:val="decimal"/>
      <w:lvlText w:val="%7."/>
      <w:lvlJc w:val="left"/>
      <w:pPr>
        <w:ind w:left="5389" w:hanging="360"/>
      </w:pPr>
    </w:lvl>
    <w:lvl w:ilvl="7" w:tplc="65D64360">
      <w:start w:val="1"/>
      <w:numFmt w:val="lowerLetter"/>
      <w:lvlText w:val="%8."/>
      <w:lvlJc w:val="left"/>
      <w:pPr>
        <w:ind w:left="6109" w:hanging="360"/>
      </w:pPr>
    </w:lvl>
    <w:lvl w:ilvl="8" w:tplc="0636B4AA">
      <w:start w:val="1"/>
      <w:numFmt w:val="lowerRoman"/>
      <w:lvlText w:val="%9."/>
      <w:lvlJc w:val="right"/>
      <w:pPr>
        <w:ind w:left="6829" w:hanging="180"/>
      </w:pPr>
    </w:lvl>
  </w:abstractNum>
  <w:abstractNum w:abstractNumId="10" w15:restartNumberingAfterBreak="0">
    <w:nsid w:val="47183108"/>
    <w:multiLevelType w:val="hybridMultilevel"/>
    <w:tmpl w:val="816ED4AA"/>
    <w:lvl w:ilvl="0" w:tplc="066E2BDC">
      <w:start w:val="2"/>
      <w:numFmt w:val="decimal"/>
      <w:lvlText w:val="%1)"/>
      <w:lvlJc w:val="left"/>
      <w:pPr>
        <w:ind w:left="1069" w:hanging="360"/>
      </w:pPr>
      <w:rPr>
        <w:rFonts w:hint="default"/>
      </w:rPr>
    </w:lvl>
    <w:lvl w:ilvl="1" w:tplc="226C0900">
      <w:start w:val="1"/>
      <w:numFmt w:val="lowerLetter"/>
      <w:lvlText w:val="%2."/>
      <w:lvlJc w:val="left"/>
      <w:pPr>
        <w:ind w:left="1440" w:hanging="360"/>
      </w:pPr>
    </w:lvl>
    <w:lvl w:ilvl="2" w:tplc="89BC7D9C">
      <w:start w:val="1"/>
      <w:numFmt w:val="lowerRoman"/>
      <w:lvlText w:val="%3."/>
      <w:lvlJc w:val="right"/>
      <w:pPr>
        <w:ind w:left="2160" w:hanging="180"/>
      </w:pPr>
    </w:lvl>
    <w:lvl w:ilvl="3" w:tplc="3A042A00">
      <w:start w:val="1"/>
      <w:numFmt w:val="decimal"/>
      <w:lvlText w:val="%4."/>
      <w:lvlJc w:val="left"/>
      <w:pPr>
        <w:ind w:left="2880" w:hanging="360"/>
      </w:pPr>
    </w:lvl>
    <w:lvl w:ilvl="4" w:tplc="901E383E">
      <w:start w:val="1"/>
      <w:numFmt w:val="lowerLetter"/>
      <w:lvlText w:val="%5."/>
      <w:lvlJc w:val="left"/>
      <w:pPr>
        <w:ind w:left="3600" w:hanging="360"/>
      </w:pPr>
    </w:lvl>
    <w:lvl w:ilvl="5" w:tplc="2EF8325E">
      <w:start w:val="1"/>
      <w:numFmt w:val="lowerRoman"/>
      <w:lvlText w:val="%6."/>
      <w:lvlJc w:val="right"/>
      <w:pPr>
        <w:ind w:left="4320" w:hanging="180"/>
      </w:pPr>
    </w:lvl>
    <w:lvl w:ilvl="6" w:tplc="953A664A">
      <w:start w:val="1"/>
      <w:numFmt w:val="decimal"/>
      <w:lvlText w:val="%7."/>
      <w:lvlJc w:val="left"/>
      <w:pPr>
        <w:ind w:left="5040" w:hanging="360"/>
      </w:pPr>
    </w:lvl>
    <w:lvl w:ilvl="7" w:tplc="984ADE98">
      <w:start w:val="1"/>
      <w:numFmt w:val="lowerLetter"/>
      <w:lvlText w:val="%8."/>
      <w:lvlJc w:val="left"/>
      <w:pPr>
        <w:ind w:left="5760" w:hanging="360"/>
      </w:pPr>
    </w:lvl>
    <w:lvl w:ilvl="8" w:tplc="09DE0402">
      <w:start w:val="1"/>
      <w:numFmt w:val="lowerRoman"/>
      <w:lvlText w:val="%9."/>
      <w:lvlJc w:val="right"/>
      <w:pPr>
        <w:ind w:left="6480" w:hanging="180"/>
      </w:pPr>
    </w:lvl>
  </w:abstractNum>
  <w:abstractNum w:abstractNumId="11" w15:restartNumberingAfterBreak="0">
    <w:nsid w:val="47413B25"/>
    <w:multiLevelType w:val="hybridMultilevel"/>
    <w:tmpl w:val="7EE6B81A"/>
    <w:lvl w:ilvl="0" w:tplc="5F84B028">
      <w:start w:val="7"/>
      <w:numFmt w:val="decimal"/>
      <w:lvlText w:val="%1."/>
      <w:lvlJc w:val="left"/>
      <w:pPr>
        <w:ind w:left="1069" w:hanging="360"/>
      </w:pPr>
      <w:rPr>
        <w:rFonts w:hint="default"/>
      </w:rPr>
    </w:lvl>
    <w:lvl w:ilvl="1" w:tplc="8834B392">
      <w:start w:val="1"/>
      <w:numFmt w:val="lowerLetter"/>
      <w:lvlText w:val="%2."/>
      <w:lvlJc w:val="left"/>
      <w:pPr>
        <w:ind w:left="1789" w:hanging="360"/>
      </w:pPr>
    </w:lvl>
    <w:lvl w:ilvl="2" w:tplc="614060CC">
      <w:start w:val="1"/>
      <w:numFmt w:val="lowerRoman"/>
      <w:lvlText w:val="%3."/>
      <w:lvlJc w:val="right"/>
      <w:pPr>
        <w:ind w:left="2509" w:hanging="180"/>
      </w:pPr>
    </w:lvl>
    <w:lvl w:ilvl="3" w:tplc="EAD45196">
      <w:start w:val="1"/>
      <w:numFmt w:val="decimal"/>
      <w:lvlText w:val="%4."/>
      <w:lvlJc w:val="left"/>
      <w:pPr>
        <w:ind w:left="3229" w:hanging="360"/>
      </w:pPr>
    </w:lvl>
    <w:lvl w:ilvl="4" w:tplc="3C54B252">
      <w:start w:val="1"/>
      <w:numFmt w:val="lowerLetter"/>
      <w:lvlText w:val="%5."/>
      <w:lvlJc w:val="left"/>
      <w:pPr>
        <w:ind w:left="3949" w:hanging="360"/>
      </w:pPr>
    </w:lvl>
    <w:lvl w:ilvl="5" w:tplc="743A5B08">
      <w:start w:val="1"/>
      <w:numFmt w:val="lowerRoman"/>
      <w:lvlText w:val="%6."/>
      <w:lvlJc w:val="right"/>
      <w:pPr>
        <w:ind w:left="4669" w:hanging="180"/>
      </w:pPr>
    </w:lvl>
    <w:lvl w:ilvl="6" w:tplc="AF4EF5B0">
      <w:start w:val="1"/>
      <w:numFmt w:val="decimal"/>
      <w:lvlText w:val="%7."/>
      <w:lvlJc w:val="left"/>
      <w:pPr>
        <w:ind w:left="5389" w:hanging="360"/>
      </w:pPr>
    </w:lvl>
    <w:lvl w:ilvl="7" w:tplc="1B3645C4">
      <w:start w:val="1"/>
      <w:numFmt w:val="lowerLetter"/>
      <w:lvlText w:val="%8."/>
      <w:lvlJc w:val="left"/>
      <w:pPr>
        <w:ind w:left="6109" w:hanging="360"/>
      </w:pPr>
    </w:lvl>
    <w:lvl w:ilvl="8" w:tplc="D092F65A">
      <w:start w:val="1"/>
      <w:numFmt w:val="lowerRoman"/>
      <w:lvlText w:val="%9."/>
      <w:lvlJc w:val="right"/>
      <w:pPr>
        <w:ind w:left="6829" w:hanging="180"/>
      </w:pPr>
    </w:lvl>
  </w:abstractNum>
  <w:abstractNum w:abstractNumId="12" w15:restartNumberingAfterBreak="0">
    <w:nsid w:val="528C79DA"/>
    <w:multiLevelType w:val="hybridMultilevel"/>
    <w:tmpl w:val="0C34860A"/>
    <w:lvl w:ilvl="0" w:tplc="BF221EF4">
      <w:start w:val="1"/>
      <w:numFmt w:val="decimal"/>
      <w:lvlText w:val="%1)"/>
      <w:lvlJc w:val="left"/>
      <w:pPr>
        <w:ind w:left="1069" w:hanging="360"/>
      </w:pPr>
      <w:rPr>
        <w:rFonts w:hint="default"/>
      </w:rPr>
    </w:lvl>
    <w:lvl w:ilvl="1" w:tplc="DB2EF7E4">
      <w:start w:val="1"/>
      <w:numFmt w:val="lowerLetter"/>
      <w:lvlText w:val="%2."/>
      <w:lvlJc w:val="left"/>
      <w:pPr>
        <w:ind w:left="1789" w:hanging="360"/>
      </w:pPr>
    </w:lvl>
    <w:lvl w:ilvl="2" w:tplc="75523AD0">
      <w:start w:val="1"/>
      <w:numFmt w:val="lowerRoman"/>
      <w:lvlText w:val="%3."/>
      <w:lvlJc w:val="right"/>
      <w:pPr>
        <w:ind w:left="2509" w:hanging="180"/>
      </w:pPr>
    </w:lvl>
    <w:lvl w:ilvl="3" w:tplc="AB06B51E">
      <w:start w:val="1"/>
      <w:numFmt w:val="decimal"/>
      <w:lvlText w:val="%4."/>
      <w:lvlJc w:val="left"/>
      <w:pPr>
        <w:ind w:left="3229" w:hanging="360"/>
      </w:pPr>
    </w:lvl>
    <w:lvl w:ilvl="4" w:tplc="B6C4ED84">
      <w:start w:val="1"/>
      <w:numFmt w:val="lowerLetter"/>
      <w:lvlText w:val="%5."/>
      <w:lvlJc w:val="left"/>
      <w:pPr>
        <w:ind w:left="3949" w:hanging="360"/>
      </w:pPr>
    </w:lvl>
    <w:lvl w:ilvl="5" w:tplc="AAE47ADA">
      <w:start w:val="1"/>
      <w:numFmt w:val="lowerRoman"/>
      <w:lvlText w:val="%6."/>
      <w:lvlJc w:val="right"/>
      <w:pPr>
        <w:ind w:left="4669" w:hanging="180"/>
      </w:pPr>
    </w:lvl>
    <w:lvl w:ilvl="6" w:tplc="59B4A2FC">
      <w:start w:val="1"/>
      <w:numFmt w:val="decimal"/>
      <w:lvlText w:val="%7."/>
      <w:lvlJc w:val="left"/>
      <w:pPr>
        <w:ind w:left="5389" w:hanging="360"/>
      </w:pPr>
    </w:lvl>
    <w:lvl w:ilvl="7" w:tplc="4B3CC846">
      <w:start w:val="1"/>
      <w:numFmt w:val="lowerLetter"/>
      <w:lvlText w:val="%8."/>
      <w:lvlJc w:val="left"/>
      <w:pPr>
        <w:ind w:left="6109" w:hanging="360"/>
      </w:pPr>
    </w:lvl>
    <w:lvl w:ilvl="8" w:tplc="BBF416F0">
      <w:start w:val="1"/>
      <w:numFmt w:val="lowerRoman"/>
      <w:lvlText w:val="%9."/>
      <w:lvlJc w:val="right"/>
      <w:pPr>
        <w:ind w:left="6829" w:hanging="180"/>
      </w:pPr>
    </w:lvl>
  </w:abstractNum>
  <w:abstractNum w:abstractNumId="13" w15:restartNumberingAfterBreak="0">
    <w:nsid w:val="54F21941"/>
    <w:multiLevelType w:val="hybridMultilevel"/>
    <w:tmpl w:val="14A8DC16"/>
    <w:lvl w:ilvl="0" w:tplc="B66E2B4E">
      <w:start w:val="1"/>
      <w:numFmt w:val="decimal"/>
      <w:lvlText w:val="%1)"/>
      <w:lvlJc w:val="left"/>
      <w:pPr>
        <w:ind w:left="1069" w:hanging="360"/>
      </w:pPr>
      <w:rPr>
        <w:rFonts w:hint="default"/>
      </w:rPr>
    </w:lvl>
    <w:lvl w:ilvl="1" w:tplc="946A1FDC">
      <w:start w:val="1"/>
      <w:numFmt w:val="lowerLetter"/>
      <w:lvlText w:val="%2."/>
      <w:lvlJc w:val="left"/>
      <w:pPr>
        <w:ind w:left="1789" w:hanging="360"/>
      </w:pPr>
    </w:lvl>
    <w:lvl w:ilvl="2" w:tplc="96C444DE">
      <w:start w:val="1"/>
      <w:numFmt w:val="lowerRoman"/>
      <w:lvlText w:val="%3."/>
      <w:lvlJc w:val="right"/>
      <w:pPr>
        <w:ind w:left="2509" w:hanging="180"/>
      </w:pPr>
    </w:lvl>
    <w:lvl w:ilvl="3" w:tplc="825454BE">
      <w:start w:val="1"/>
      <w:numFmt w:val="decimal"/>
      <w:lvlText w:val="%4."/>
      <w:lvlJc w:val="left"/>
      <w:pPr>
        <w:ind w:left="3229" w:hanging="360"/>
      </w:pPr>
    </w:lvl>
    <w:lvl w:ilvl="4" w:tplc="6F268C2C">
      <w:start w:val="1"/>
      <w:numFmt w:val="lowerLetter"/>
      <w:lvlText w:val="%5."/>
      <w:lvlJc w:val="left"/>
      <w:pPr>
        <w:ind w:left="3949" w:hanging="360"/>
      </w:pPr>
    </w:lvl>
    <w:lvl w:ilvl="5" w:tplc="10B44C4A">
      <w:start w:val="1"/>
      <w:numFmt w:val="lowerRoman"/>
      <w:lvlText w:val="%6."/>
      <w:lvlJc w:val="right"/>
      <w:pPr>
        <w:ind w:left="4669" w:hanging="180"/>
      </w:pPr>
    </w:lvl>
    <w:lvl w:ilvl="6" w:tplc="3A7036E2">
      <w:start w:val="1"/>
      <w:numFmt w:val="decimal"/>
      <w:lvlText w:val="%7."/>
      <w:lvlJc w:val="left"/>
      <w:pPr>
        <w:ind w:left="5389" w:hanging="360"/>
      </w:pPr>
    </w:lvl>
    <w:lvl w:ilvl="7" w:tplc="D12C04F6">
      <w:start w:val="1"/>
      <w:numFmt w:val="lowerLetter"/>
      <w:lvlText w:val="%8."/>
      <w:lvlJc w:val="left"/>
      <w:pPr>
        <w:ind w:left="6109" w:hanging="360"/>
      </w:pPr>
    </w:lvl>
    <w:lvl w:ilvl="8" w:tplc="BF8267FC">
      <w:start w:val="1"/>
      <w:numFmt w:val="lowerRoman"/>
      <w:lvlText w:val="%9."/>
      <w:lvlJc w:val="right"/>
      <w:pPr>
        <w:ind w:left="6829" w:hanging="180"/>
      </w:pPr>
    </w:lvl>
  </w:abstractNum>
  <w:abstractNum w:abstractNumId="14" w15:restartNumberingAfterBreak="0">
    <w:nsid w:val="6AB157D1"/>
    <w:multiLevelType w:val="hybridMultilevel"/>
    <w:tmpl w:val="5E9AA008"/>
    <w:lvl w:ilvl="0" w:tplc="BDD2DC9A">
      <w:start w:val="1"/>
      <w:numFmt w:val="decimal"/>
      <w:lvlText w:val="%1."/>
      <w:lvlJc w:val="left"/>
      <w:pPr>
        <w:ind w:left="1068" w:hanging="360"/>
      </w:pPr>
      <w:rPr>
        <w:rFonts w:hint="default"/>
      </w:rPr>
    </w:lvl>
    <w:lvl w:ilvl="1" w:tplc="A0823C7C">
      <w:start w:val="1"/>
      <w:numFmt w:val="lowerLetter"/>
      <w:lvlText w:val="%2."/>
      <w:lvlJc w:val="left"/>
      <w:pPr>
        <w:ind w:left="1788" w:hanging="360"/>
      </w:pPr>
    </w:lvl>
    <w:lvl w:ilvl="2" w:tplc="AF444BC6">
      <w:start w:val="1"/>
      <w:numFmt w:val="lowerRoman"/>
      <w:lvlText w:val="%3."/>
      <w:lvlJc w:val="right"/>
      <w:pPr>
        <w:ind w:left="2508" w:hanging="180"/>
      </w:pPr>
    </w:lvl>
    <w:lvl w:ilvl="3" w:tplc="6D76DDE8">
      <w:start w:val="1"/>
      <w:numFmt w:val="decimal"/>
      <w:lvlText w:val="%4."/>
      <w:lvlJc w:val="left"/>
      <w:pPr>
        <w:ind w:left="3228" w:hanging="360"/>
      </w:pPr>
    </w:lvl>
    <w:lvl w:ilvl="4" w:tplc="9CF25602">
      <w:start w:val="1"/>
      <w:numFmt w:val="lowerLetter"/>
      <w:lvlText w:val="%5."/>
      <w:lvlJc w:val="left"/>
      <w:pPr>
        <w:ind w:left="3948" w:hanging="360"/>
      </w:pPr>
    </w:lvl>
    <w:lvl w:ilvl="5" w:tplc="EEB09580">
      <w:start w:val="1"/>
      <w:numFmt w:val="lowerRoman"/>
      <w:lvlText w:val="%6."/>
      <w:lvlJc w:val="right"/>
      <w:pPr>
        <w:ind w:left="4668" w:hanging="180"/>
      </w:pPr>
    </w:lvl>
    <w:lvl w:ilvl="6" w:tplc="FCBC7824">
      <w:start w:val="1"/>
      <w:numFmt w:val="decimal"/>
      <w:lvlText w:val="%7."/>
      <w:lvlJc w:val="left"/>
      <w:pPr>
        <w:ind w:left="5388" w:hanging="360"/>
      </w:pPr>
    </w:lvl>
    <w:lvl w:ilvl="7" w:tplc="84A054BA">
      <w:start w:val="1"/>
      <w:numFmt w:val="lowerLetter"/>
      <w:lvlText w:val="%8."/>
      <w:lvlJc w:val="left"/>
      <w:pPr>
        <w:ind w:left="6108" w:hanging="360"/>
      </w:pPr>
    </w:lvl>
    <w:lvl w:ilvl="8" w:tplc="E7F6715E">
      <w:start w:val="1"/>
      <w:numFmt w:val="lowerRoman"/>
      <w:lvlText w:val="%9."/>
      <w:lvlJc w:val="right"/>
      <w:pPr>
        <w:ind w:left="6828" w:hanging="180"/>
      </w:pPr>
    </w:lvl>
  </w:abstractNum>
  <w:abstractNum w:abstractNumId="15" w15:restartNumberingAfterBreak="0">
    <w:nsid w:val="7CDD6CB5"/>
    <w:multiLevelType w:val="hybridMultilevel"/>
    <w:tmpl w:val="6A0E1220"/>
    <w:lvl w:ilvl="0" w:tplc="A0AA032A">
      <w:start w:val="1"/>
      <w:numFmt w:val="decimal"/>
      <w:lvlText w:val="%1)"/>
      <w:lvlJc w:val="left"/>
      <w:pPr>
        <w:ind w:left="1069" w:hanging="360"/>
      </w:pPr>
      <w:rPr>
        <w:rFonts w:hint="default"/>
      </w:rPr>
    </w:lvl>
    <w:lvl w:ilvl="1" w:tplc="B84A7440">
      <w:start w:val="1"/>
      <w:numFmt w:val="lowerLetter"/>
      <w:lvlText w:val="%2."/>
      <w:lvlJc w:val="left"/>
      <w:pPr>
        <w:ind w:left="1789" w:hanging="360"/>
      </w:pPr>
    </w:lvl>
    <w:lvl w:ilvl="2" w:tplc="42D0788E">
      <w:start w:val="1"/>
      <w:numFmt w:val="lowerRoman"/>
      <w:lvlText w:val="%3."/>
      <w:lvlJc w:val="right"/>
      <w:pPr>
        <w:ind w:left="2509" w:hanging="180"/>
      </w:pPr>
    </w:lvl>
    <w:lvl w:ilvl="3" w:tplc="63261990">
      <w:start w:val="1"/>
      <w:numFmt w:val="decimal"/>
      <w:lvlText w:val="%4."/>
      <w:lvlJc w:val="left"/>
      <w:pPr>
        <w:ind w:left="3229" w:hanging="360"/>
      </w:pPr>
    </w:lvl>
    <w:lvl w:ilvl="4" w:tplc="1CC4015A">
      <w:start w:val="1"/>
      <w:numFmt w:val="lowerLetter"/>
      <w:lvlText w:val="%5."/>
      <w:lvlJc w:val="left"/>
      <w:pPr>
        <w:ind w:left="3949" w:hanging="360"/>
      </w:pPr>
    </w:lvl>
    <w:lvl w:ilvl="5" w:tplc="30DA6722">
      <w:start w:val="1"/>
      <w:numFmt w:val="lowerRoman"/>
      <w:lvlText w:val="%6."/>
      <w:lvlJc w:val="right"/>
      <w:pPr>
        <w:ind w:left="4669" w:hanging="180"/>
      </w:pPr>
    </w:lvl>
    <w:lvl w:ilvl="6" w:tplc="EE083A88">
      <w:start w:val="1"/>
      <w:numFmt w:val="decimal"/>
      <w:lvlText w:val="%7."/>
      <w:lvlJc w:val="left"/>
      <w:pPr>
        <w:ind w:left="5389" w:hanging="360"/>
      </w:pPr>
    </w:lvl>
    <w:lvl w:ilvl="7" w:tplc="EFECE7D0">
      <w:start w:val="1"/>
      <w:numFmt w:val="lowerLetter"/>
      <w:lvlText w:val="%8."/>
      <w:lvlJc w:val="left"/>
      <w:pPr>
        <w:ind w:left="6109" w:hanging="360"/>
      </w:pPr>
    </w:lvl>
    <w:lvl w:ilvl="8" w:tplc="B196718A">
      <w:start w:val="1"/>
      <w:numFmt w:val="lowerRoman"/>
      <w:lvlText w:val="%9."/>
      <w:lvlJc w:val="right"/>
      <w:pPr>
        <w:ind w:left="6829" w:hanging="180"/>
      </w:pPr>
    </w:lvl>
  </w:abstractNum>
  <w:abstractNum w:abstractNumId="16" w15:restartNumberingAfterBreak="0">
    <w:nsid w:val="7D765B80"/>
    <w:multiLevelType w:val="hybridMultilevel"/>
    <w:tmpl w:val="2D72CBE2"/>
    <w:lvl w:ilvl="0" w:tplc="4904A4E2">
      <w:start w:val="1"/>
      <w:numFmt w:val="decimal"/>
      <w:lvlText w:val="%1)"/>
      <w:lvlJc w:val="left"/>
      <w:pPr>
        <w:ind w:left="1069" w:hanging="360"/>
      </w:pPr>
      <w:rPr>
        <w:rFonts w:hint="default"/>
      </w:rPr>
    </w:lvl>
    <w:lvl w:ilvl="1" w:tplc="0BA8A0C8">
      <w:start w:val="1"/>
      <w:numFmt w:val="lowerLetter"/>
      <w:lvlText w:val="%2."/>
      <w:lvlJc w:val="left"/>
      <w:pPr>
        <w:ind w:left="1789" w:hanging="360"/>
      </w:pPr>
    </w:lvl>
    <w:lvl w:ilvl="2" w:tplc="C45ED388">
      <w:start w:val="1"/>
      <w:numFmt w:val="lowerRoman"/>
      <w:lvlText w:val="%3."/>
      <w:lvlJc w:val="right"/>
      <w:pPr>
        <w:ind w:left="2509" w:hanging="180"/>
      </w:pPr>
    </w:lvl>
    <w:lvl w:ilvl="3" w:tplc="B9B27FD6">
      <w:start w:val="1"/>
      <w:numFmt w:val="decimal"/>
      <w:lvlText w:val="%4."/>
      <w:lvlJc w:val="left"/>
      <w:pPr>
        <w:ind w:left="3229" w:hanging="360"/>
      </w:pPr>
    </w:lvl>
    <w:lvl w:ilvl="4" w:tplc="9350EE12">
      <w:start w:val="1"/>
      <w:numFmt w:val="lowerLetter"/>
      <w:lvlText w:val="%5."/>
      <w:lvlJc w:val="left"/>
      <w:pPr>
        <w:ind w:left="3949" w:hanging="360"/>
      </w:pPr>
    </w:lvl>
    <w:lvl w:ilvl="5" w:tplc="D70A5DDE">
      <w:start w:val="1"/>
      <w:numFmt w:val="lowerRoman"/>
      <w:lvlText w:val="%6."/>
      <w:lvlJc w:val="right"/>
      <w:pPr>
        <w:ind w:left="4669" w:hanging="180"/>
      </w:pPr>
    </w:lvl>
    <w:lvl w:ilvl="6" w:tplc="607A8D54">
      <w:start w:val="1"/>
      <w:numFmt w:val="decimal"/>
      <w:lvlText w:val="%7."/>
      <w:lvlJc w:val="left"/>
      <w:pPr>
        <w:ind w:left="5389" w:hanging="360"/>
      </w:pPr>
    </w:lvl>
    <w:lvl w:ilvl="7" w:tplc="6B1813CA">
      <w:start w:val="1"/>
      <w:numFmt w:val="lowerLetter"/>
      <w:lvlText w:val="%8."/>
      <w:lvlJc w:val="left"/>
      <w:pPr>
        <w:ind w:left="6109" w:hanging="360"/>
      </w:pPr>
    </w:lvl>
    <w:lvl w:ilvl="8" w:tplc="7E8C3D34">
      <w:start w:val="1"/>
      <w:numFmt w:val="lowerRoman"/>
      <w:lvlText w:val="%9."/>
      <w:lvlJc w:val="right"/>
      <w:pPr>
        <w:ind w:left="6829" w:hanging="180"/>
      </w:pPr>
    </w:lvl>
  </w:abstractNum>
  <w:num w:numId="1">
    <w:abstractNumId w:val="7"/>
  </w:num>
  <w:num w:numId="2">
    <w:abstractNumId w:val="13"/>
  </w:num>
  <w:num w:numId="3">
    <w:abstractNumId w:val="12"/>
  </w:num>
  <w:num w:numId="4">
    <w:abstractNumId w:val="5"/>
  </w:num>
  <w:num w:numId="5">
    <w:abstractNumId w:val="9"/>
  </w:num>
  <w:num w:numId="6">
    <w:abstractNumId w:val="2"/>
  </w:num>
  <w:num w:numId="7">
    <w:abstractNumId w:val="15"/>
  </w:num>
  <w:num w:numId="8">
    <w:abstractNumId w:val="0"/>
  </w:num>
  <w:num w:numId="9">
    <w:abstractNumId w:val="14"/>
  </w:num>
  <w:num w:numId="10">
    <w:abstractNumId w:val="10"/>
  </w:num>
  <w:num w:numId="11">
    <w:abstractNumId w:val="8"/>
  </w:num>
  <w:num w:numId="12">
    <w:abstractNumId w:val="1"/>
  </w:num>
  <w:num w:numId="13">
    <w:abstractNumId w:val="16"/>
  </w:num>
  <w:num w:numId="14">
    <w:abstractNumId w:val="11"/>
  </w:num>
  <w:num w:numId="15">
    <w:abstractNumId w:val="6"/>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B94"/>
    <w:rsid w:val="000A55F0"/>
    <w:rsid w:val="00116D5C"/>
    <w:rsid w:val="007074C6"/>
    <w:rsid w:val="009837F4"/>
    <w:rsid w:val="00CF4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2280B8-AF16-430D-9A3E-1BA68746C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qFormat/>
    <w:pPr>
      <w:keepNext/>
      <w:spacing w:after="0" w:line="240" w:lineRule="auto"/>
      <w:jc w:val="center"/>
      <w:outlineLvl w:val="3"/>
    </w:pPr>
    <w:rPr>
      <w:rFonts w:ascii="Times New Roman" w:eastAsia="Times New Roman" w:hAnsi="Times New Roman" w:cs="Times New Roman"/>
      <w:b/>
      <w:bCs/>
      <w:sz w:val="28"/>
      <w:szCs w:val="20"/>
      <w:lang w:eastAsia="ru-RU"/>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character" w:customStyle="1" w:styleId="40">
    <w:name w:val="Заголовок 4 Знак"/>
    <w:basedOn w:val="a0"/>
    <w:link w:val="4"/>
    <w:rPr>
      <w:rFonts w:ascii="Times New Roman" w:eastAsia="Times New Roman" w:hAnsi="Times New Roman" w:cs="Times New Roman"/>
      <w:b/>
      <w:bCs/>
      <w:sz w:val="28"/>
      <w:szCs w:val="20"/>
      <w:lang w:eastAsia="ru-RU"/>
    </w:rPr>
  </w:style>
  <w:style w:type="paragraph" w:customStyle="1" w:styleId="af3">
    <w:name w:val="Всегда"/>
    <w:basedOn w:val="a"/>
    <w:qFormat/>
    <w:pPr>
      <w:tabs>
        <w:tab w:val="left" w:pos="1701"/>
      </w:tabs>
      <w:spacing w:after="0" w:line="240" w:lineRule="auto"/>
      <w:ind w:firstLine="709"/>
      <w:jc w:val="both"/>
    </w:pPr>
    <w:rPr>
      <w:rFonts w:ascii="Times New Roman" w:hAnsi="Times New Roman" w:cs="Times New Roman"/>
      <w:sz w:val="28"/>
      <w:szCs w:val="28"/>
    </w:rPr>
  </w:style>
  <w:style w:type="paragraph" w:styleId="af4">
    <w:name w:val="Body Text"/>
    <w:basedOn w:val="a"/>
    <w:link w:val="af5"/>
    <w:pPr>
      <w:spacing w:after="0" w:line="240" w:lineRule="auto"/>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Pr>
      <w:rFonts w:ascii="Times New Roman" w:eastAsia="Times New Roman" w:hAnsi="Times New Roman" w:cs="Times New Roman"/>
      <w:sz w:val="24"/>
      <w:szCs w:val="20"/>
      <w:lang w:eastAsia="ru-RU"/>
    </w:rPr>
  </w:style>
  <w:style w:type="paragraph" w:customStyle="1" w:styleId="ConsPlusNormal">
    <w:name w:val="ConsPlusNormal"/>
    <w:pPr>
      <w:spacing w:after="0" w:line="240" w:lineRule="auto"/>
    </w:pPr>
    <w:rPr>
      <w:rFonts w:ascii="Arial" w:hAnsi="Arial" w:cs="Arial"/>
      <w:sz w:val="20"/>
      <w:szCs w:val="20"/>
    </w:rPr>
  </w:style>
  <w:style w:type="paragraph" w:styleId="af6">
    <w:name w:val="Balloon Text"/>
    <w:basedOn w:val="a"/>
    <w:link w:val="af7"/>
    <w:uiPriority w:val="99"/>
    <w:semiHidden/>
    <w:unhideWhenUse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Pr>
      <w:rFonts w:ascii="Tahoma" w:hAnsi="Tahoma" w:cs="Tahoma"/>
      <w:sz w:val="16"/>
      <w:szCs w:val="16"/>
    </w:rPr>
  </w:style>
  <w:style w:type="paragraph" w:styleId="af8">
    <w:name w:val="header"/>
    <w:basedOn w:val="a"/>
    <w:link w:val="af9"/>
    <w:uiPriority w:val="99"/>
    <w:unhideWhenUsed/>
    <w:pPr>
      <w:tabs>
        <w:tab w:val="center" w:pos="4677"/>
        <w:tab w:val="right" w:pos="9355"/>
      </w:tabs>
      <w:spacing w:after="0" w:line="240" w:lineRule="auto"/>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spacing w:after="0" w:line="240" w:lineRule="auto"/>
    </w:pPr>
  </w:style>
  <w:style w:type="character" w:customStyle="1" w:styleId="afb">
    <w:name w:val="Нижний колонтитул Знак"/>
    <w:basedOn w:val="a0"/>
    <w:link w:val="afa"/>
    <w:uiPriority w:val="99"/>
  </w:style>
  <w:style w:type="table" w:styleId="afc">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d">
    <w:name w:val="List Paragraph"/>
    <w:basedOn w:val="a"/>
    <w:uiPriority w:val="34"/>
    <w:qFormat/>
    <w:pPr>
      <w:ind w:left="720"/>
      <w:contextualSpacing/>
    </w:pPr>
  </w:style>
  <w:style w:type="paragraph" w:customStyle="1" w:styleId="Style10">
    <w:name w:val="Style10"/>
    <w:basedOn w:val="a"/>
    <w:uiPriority w:val="99"/>
    <w:pPr>
      <w:widowControl w:val="0"/>
      <w:spacing w:after="0"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Pr>
      <w:sz w:val="16"/>
      <w:szCs w:val="16"/>
    </w:rPr>
  </w:style>
  <w:style w:type="paragraph" w:styleId="aff">
    <w:name w:val="annotation text"/>
    <w:basedOn w:val="a"/>
    <w:link w:val="aff0"/>
    <w:uiPriority w:val="99"/>
    <w:semiHidden/>
    <w:unhideWhenUsed/>
    <w:pPr>
      <w:spacing w:line="240" w:lineRule="auto"/>
    </w:pPr>
    <w:rPr>
      <w:sz w:val="20"/>
      <w:szCs w:val="20"/>
    </w:rPr>
  </w:style>
  <w:style w:type="character" w:customStyle="1" w:styleId="aff0">
    <w:name w:val="Текст примечания Знак"/>
    <w:basedOn w:val="a0"/>
    <w:link w:val="aff"/>
    <w:uiPriority w:val="99"/>
    <w:semiHidden/>
    <w:rPr>
      <w:sz w:val="20"/>
      <w:szCs w:val="20"/>
    </w:rPr>
  </w:style>
  <w:style w:type="paragraph" w:styleId="aff1">
    <w:name w:val="annotation subject"/>
    <w:basedOn w:val="aff"/>
    <w:next w:val="aff"/>
    <w:link w:val="aff2"/>
    <w:uiPriority w:val="99"/>
    <w:semiHidden/>
    <w:unhideWhenUsed/>
    <w:rPr>
      <w:b/>
      <w:bCs/>
    </w:rPr>
  </w:style>
  <w:style w:type="character" w:customStyle="1" w:styleId="aff2">
    <w:name w:val="Тема примечания Знак"/>
    <w:basedOn w:val="aff0"/>
    <w:link w:val="aff1"/>
    <w:uiPriority w:val="99"/>
    <w:semiHidden/>
    <w:rPr>
      <w:b/>
      <w:bCs/>
      <w:sz w:val="20"/>
      <w:szCs w:val="20"/>
    </w:rPr>
  </w:style>
  <w:style w:type="paragraph" w:styleId="aff3">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Hyperlink"/>
    <w:basedOn w:val="a0"/>
    <w:uiPriority w:val="99"/>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LAW926&amp;n=304800&amp;dst=100222&amp;field=134&amp;date=27.08.2024"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926&amp;n=304800&amp;dst=100221&amp;field=134&amp;date=27.08.202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RLAW926&amp;n=304800&amp;dst=100222&amp;field=134&amp;date=27.08.20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C54D03F3E61BA041C952DA0515FE4C725CE1EBFE965470B0BCFDFE242726984BA7F74BC38CEA376AB236AC14CFED4782F94719163E5TAVDH"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2891&amp;dst=100056&amp;field=134&amp;date=03.05.2024" TargetMode="External"/><Relationship Id="rId10" Type="http://schemas.openxmlformats.org/officeDocument/2006/relationships/hyperlink" Target="https://login.consultant.ru/link/?req=doc&amp;base=RLAW926&amp;n=304800&amp;dst=100201&amp;field=134&amp;date=27.08.202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828C5D79E2A23CE95A8C72A3B12E6B81EFA4119929A9AEB8F4063A83AEB1CFE9B6F6AF4C02DA11C8DEF20A867K" TargetMode="External"/><Relationship Id="rId14" Type="http://schemas.openxmlformats.org/officeDocument/2006/relationships/hyperlink" Target="https://login.consultant.ru/link/?req=doc&amp;base=LAW&amp;n=462891&amp;dst=100056&amp;field=134&amp;date=03.05.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C9F63-C9A8-4BDD-AE47-1935D6997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6647</Words>
  <Characters>37891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Красноперова Дарья Александровна</cp:lastModifiedBy>
  <cp:revision>21</cp:revision>
  <cp:lastPrinted>2024-11-28T11:01:00Z</cp:lastPrinted>
  <dcterms:created xsi:type="dcterms:W3CDTF">2024-11-13T09:43:00Z</dcterms:created>
  <dcterms:modified xsi:type="dcterms:W3CDTF">2024-11-29T09:43:00Z</dcterms:modified>
</cp:coreProperties>
</file>